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Pr>
        <w:drawing>
          <wp:inline distB="0" distT="0" distL="114300" distR="114300">
            <wp:extent cx="5755640" cy="721360"/>
            <wp:effectExtent b="0" l="0" r="0" t="0"/>
            <wp:docPr id="10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5640" cy="721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Správa o činnosti pedagogického klubu </w:t>
      </w: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Prioritná os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4007"/>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Vzdelávanie</w:t>
            </w:r>
          </w:p>
        </w:tc>
      </w:tr>
      <w:tr>
        <w:tc>
          <w:tcPr/>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Špecifický cieľ</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4007"/>
              </w:tabs>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Prijímateľ</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Súkromná základná škola waldorfská</w:t>
            </w:r>
          </w:p>
        </w:tc>
      </w:tr>
      <w:tr>
        <w:tc>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projektu</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ind w:left="0" w:hanging="2"/>
              <w:rPr>
                <w:rFonts w:ascii="Times New Roman" w:cs="Times New Roman" w:eastAsia="Times New Roman" w:hAnsi="Times New Roman"/>
                <w:color w:val="000000"/>
              </w:rPr>
            </w:pPr>
            <w:r w:rsidDel="00000000" w:rsidR="00000000" w:rsidRPr="00000000">
              <w:rPr>
                <w:rtl w:val="0"/>
              </w:rPr>
            </w:r>
          </w:p>
          <w:tbl>
            <w:tblPr>
              <w:tblStyle w:val="Table2"/>
              <w:tblW w:w="4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tblGridChange w:id="0">
                <w:tblGrid>
                  <w:gridCol w:w="4380"/>
                </w:tblGrid>
              </w:tblGridChange>
            </w:tblGrid>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Inkluzívna škola ako učiaca sa organizácia</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Kód projektu  ITMS2014+</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312011R551 </w:t>
            </w:r>
          </w:p>
        </w:tc>
      </w:tr>
      <w:tr>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pedagogického klubu </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Klub učiteľov bádateľskej  matematiky v pohybe a ekonomickej matematiky</w:t>
            </w:r>
          </w:p>
        </w:tc>
      </w:tr>
      <w:tr>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 stretnutia  pedagogického klubu</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t xml:space="preserve">9.12.2020</w:t>
            </w:r>
            <w:r w:rsidDel="00000000" w:rsidR="00000000" w:rsidRPr="00000000">
              <w:rPr>
                <w:rtl w:val="0"/>
              </w:rPr>
            </w:r>
          </w:p>
        </w:tc>
      </w:tr>
      <w:tr>
        <w:tc>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stretnutia  pedagogického klubu</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SZŠW, Vihorlatská 10, Bratislava</w:t>
            </w:r>
          </w:p>
        </w:tc>
      </w:tr>
      <w:tr>
        <w:tc>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koordinátora pedagogického klubu</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Michal Klučka</w:t>
            </w:r>
          </w:p>
        </w:tc>
      </w:tr>
      <w:tr>
        <w:tc>
          <w:tcPr/>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Odkaz na webové sídlo zverejnenej správy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http://waldorfskaskola.sk/tema/35/inkluzivna-skola-ako-uciaca-sa-organizacia</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bl>
      <w:tblPr>
        <w:tblStyle w:val="Table3"/>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66"/>
        <w:tblGridChange w:id="0">
          <w:tblGrid>
            <w:gridCol w:w="9266"/>
          </w:tblGrid>
        </w:tblGridChange>
      </w:tblGrid>
      <w:tr>
        <w:trPr>
          <w:trHeight w:val="1827" w:hRule="atLeast"/>
        </w:trPr>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Manažérske zhrnutie: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krátka anotácia, kľúčové slová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Kooperatívne vyučovanie na matematike. Výmena skúseností o vyučovaní matematiky v SZŠW rôznymi učiteľmi zdieľanie dobrej praxe, vytvorenie záznamu a podkladov pre ostatných pedagógov školy.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tc>
      </w:tr>
      <w:tr>
        <w:trPr>
          <w:trHeight w:val="53" w:hRule="atLeast"/>
        </w:trPr>
        <w:tc>
          <w:tcPr/>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Hlavné body, témy stretnutia, zhrnutie priebehu stretnutia:</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úvodné privítanie, </w:t>
            </w:r>
            <w:r w:rsidDel="00000000" w:rsidR="00000000" w:rsidRPr="00000000">
              <w:rPr>
                <w:rtl w:val="0"/>
              </w:rPr>
            </w:r>
          </w:p>
          <w:p w:rsidR="00000000" w:rsidDel="00000000" w:rsidP="00000000" w:rsidRDefault="00000000" w:rsidRPr="00000000" w14:paraId="00000023">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návrh programu, zhrnutie cieľov</w:t>
            </w:r>
            <w:r w:rsidDel="00000000" w:rsidR="00000000" w:rsidRPr="00000000">
              <w:rPr>
                <w:rtl w:val="0"/>
              </w:rPr>
            </w:r>
          </w:p>
          <w:p w:rsidR="00000000" w:rsidDel="00000000" w:rsidP="00000000" w:rsidRDefault="00000000" w:rsidRPr="00000000" w14:paraId="00000024">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3/ hlavná téma: </w:t>
            </w:r>
            <w:r w:rsidDel="00000000" w:rsidR="00000000" w:rsidRPr="00000000">
              <w:rPr>
                <w:rFonts w:ascii="Times New Roman" w:cs="Times New Roman" w:eastAsia="Times New Roman" w:hAnsi="Times New Roman"/>
                <w:rtl w:val="0"/>
              </w:rPr>
              <w:t xml:space="preserve">kooperatívne vyučovanie na matematike - výmena skúseností. </w:t>
            </w:r>
          </w:p>
          <w:p w:rsidR="00000000" w:rsidDel="00000000" w:rsidP="00000000" w:rsidRDefault="00000000" w:rsidRPr="00000000" w14:paraId="00000025">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 diskusia</w:t>
            </w:r>
            <w:r w:rsidDel="00000000" w:rsidR="00000000" w:rsidRPr="00000000">
              <w:rPr>
                <w:rtl w:val="0"/>
              </w:rPr>
            </w:r>
          </w:p>
          <w:p w:rsidR="00000000" w:rsidDel="00000000" w:rsidP="00000000" w:rsidRDefault="00000000" w:rsidRPr="00000000" w14:paraId="00000026">
            <w:pPr>
              <w:tabs>
                <w:tab w:val="left" w:pos="1114"/>
              </w:tabs>
              <w:ind w:left="0" w:hanging="2"/>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záver</w:t>
            </w:r>
          </w:p>
          <w:p w:rsidR="00000000" w:rsidDel="00000000" w:rsidP="00000000" w:rsidRDefault="00000000" w:rsidRPr="00000000" w14:paraId="00000027">
            <w:pPr>
              <w:tabs>
                <w:tab w:val="left" w:pos="1114"/>
              </w:tabs>
              <w:ind w:left="0" w:hanging="2"/>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Zhrnutie:</w:t>
            </w:r>
            <w:r w:rsidDel="00000000" w:rsidR="00000000" w:rsidRPr="00000000">
              <w:rPr>
                <w:rtl w:val="0"/>
              </w:rPr>
            </w:r>
          </w:p>
          <w:p w:rsidR="00000000" w:rsidDel="00000000" w:rsidP="00000000" w:rsidRDefault="00000000" w:rsidRPr="00000000" w14:paraId="00000029">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Toto stretnutie bolo veľmi obohacujúce pre všetkých. Kolegovia zdieľali veľmi podnetné možnosti práce so žiakmi na hodinách matematiky. V prvej časti stretnutia sme sa zamerali na nižšie ročníky, teda prvý stupeň, druhú časť stretnutia sme sa venovali vyšším ročníkom. Času na zdieľanie bolo málo, preto sme premýšľali, ako zapojiť túto tému ešte do ďalších stretnutí. </w:t>
            </w:r>
          </w:p>
          <w:p w:rsidR="00000000" w:rsidDel="00000000" w:rsidP="00000000" w:rsidRDefault="00000000" w:rsidRPr="00000000" w14:paraId="0000002A">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Našim spoločným postojom bolo dostať do výučby matematiky čo najviac pohybu u žiakov, priblížiť im abstraktnú matematiku čo najbližšie tým, že si ju sami zažijú, vyskúšajú, že ju sami tvoria sebou samým. Rozoberali sme možnosti vytvárania číselnej osi, zlomkov, pomerov, percent, či delenia, povedali sme si, ako môžeme využiť rytmus na hodinách matematiky. </w:t>
            </w:r>
          </w:p>
          <w:p w:rsidR="00000000" w:rsidDel="00000000" w:rsidP="00000000" w:rsidRDefault="00000000" w:rsidRPr="00000000" w14:paraId="0000002B">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prvom stupni je zážitok, ktorý dokážu žiaci plne uchopiť, vidieť a tým pádom konkrétne pochopiť, veľmi dôležitý, aby neskôr dokázali vnímať abstraktnú stránku matematiky. Dobrou pomôckou na týchto hodinách sú rôzne predmety, či zážitky z bežného života. Kooperatívny prvok sa môže časom z veľkej skupiny celej triedy, deliť vďaka bližším vzťahom a lepším poznatkom jednotlivých žiakov, na menšie skupiny, kde si žiaci môžu vzájomne odovzdávať svoje vlastné poznatky a skúsenosti. </w:t>
            </w:r>
          </w:p>
          <w:p w:rsidR="00000000" w:rsidDel="00000000" w:rsidP="00000000" w:rsidRDefault="00000000" w:rsidRPr="00000000" w14:paraId="0000002C">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Druhý stupeň už sľubuje väčšiu samostatnosť jednotlivých žiakov, predpokladá sa, že žiaci majú lepšiu schopnosť komunikovať, byť zodpovedný za vyriešenie úlohy, rešpektovať ostatných, vypočuť ich. Tu môžeme využívať už pri aktivitách aj skupinky po dvoch žiakoch, ktorí spoločne pracujú. Otvára sa nám vo vyšších ročníkoch aj schopnosť vysvetlenia riešenia problému ostatným spolužiakom - každá skupinka žiakov má za úlohu iný matematický problém, ktorý následne po vyriešení predstaví ostatným spolužiakom tak, aby to spolužiaci dokázali využiť pre obohatenie svojich vedomostí. </w:t>
            </w:r>
          </w:p>
          <w:p w:rsidR="00000000" w:rsidDel="00000000" w:rsidP="00000000" w:rsidRDefault="00000000" w:rsidRPr="00000000" w14:paraId="0000002D">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Ako bolo smenuté, času na zdieľanie všetkého, čo sme mali naplánované, bolo málo. Preto sme sa rozhodli zaviesť do ďalších stretnutí priestor na zdieľanie. </w:t>
            </w:r>
          </w:p>
          <w:p w:rsidR="00000000" w:rsidDel="00000000" w:rsidP="00000000" w:rsidRDefault="00000000" w:rsidRPr="00000000" w14:paraId="0000002E">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konci hodiny sme sa zahrali hru na autobus, vďaka ktorej sme zo stretnutia odchádzali plní energie. </w:t>
            </w:r>
          </w:p>
          <w:p w:rsidR="00000000" w:rsidDel="00000000" w:rsidP="00000000" w:rsidRDefault="00000000" w:rsidRPr="00000000" w14:paraId="0000002F">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Ďalšie stretnutie bude 17.12. a témou bude ako učiť matematiku bez strachu a bifľovania. </w:t>
            </w:r>
          </w:p>
          <w:p w:rsidR="00000000" w:rsidDel="00000000" w:rsidP="00000000" w:rsidRDefault="00000000" w:rsidRPr="00000000" w14:paraId="00000030">
            <w:pPr>
              <w:tabs>
                <w:tab w:val="left" w:pos="1114"/>
              </w:tabs>
              <w:spacing w:after="0" w:lineRule="auto"/>
              <w:ind w:left="2"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tl w:val="0"/>
              </w:rPr>
            </w:r>
          </w:p>
        </w:tc>
      </w:tr>
      <w:tr>
        <w:trPr>
          <w:trHeight w:val="2434" w:hRule="atLeast"/>
        </w:trPr>
        <w:tc>
          <w:tcPr/>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Závery a odporúčania:</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114"/>
              </w:tabs>
              <w:spacing w:after="0" w:line="240" w:lineRule="auto"/>
              <w:ind w:left="0" w:firstLine="0"/>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rtl w:val="0"/>
              </w:rPr>
              <w:t xml:space="preserve">Zdieľali sme mnoho zaujímavých možností, ako pracovať so žiakmi na prvom aj druhom stupni v rámci kooperatívnejho prístupu k matematike.  </w:t>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color w:val="000000"/>
          <w:rtl w:val="0"/>
        </w:rPr>
        <w:tab/>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135"/>
        <w:tblGridChange w:id="0">
          <w:tblGrid>
            <w:gridCol w:w="4077"/>
            <w:gridCol w:w="5135"/>
          </w:tblGrid>
        </w:tblGridChange>
      </w:tblGrid>
      <w:tr>
        <w:tc>
          <w:tcPr/>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Vypracoval (meno, priezvisko)</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Zuzana Kundláková</w:t>
            </w:r>
          </w:p>
        </w:tc>
      </w:tr>
      <w:tr>
        <w:tc>
          <w:tcPr/>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10.12.2020</w:t>
            </w:r>
            <w:r w:rsidDel="00000000" w:rsidR="00000000" w:rsidRPr="00000000">
              <w:rPr>
                <w:rtl w:val="0"/>
              </w:rPr>
            </w:r>
          </w:p>
        </w:tc>
      </w:tr>
      <w:tr>
        <w:tc>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Schválil (meno, priezvisko)</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PaedDr. Slávka Šebová</w:t>
            </w:r>
          </w:p>
        </w:tc>
      </w:tr>
      <w:tr>
        <w:tc>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10.12.2020</w:t>
            </w:r>
            <w:r w:rsidDel="00000000" w:rsidR="00000000" w:rsidRPr="00000000">
              <w:rPr>
                <w:rtl w:val="0"/>
              </w:rPr>
            </w:r>
          </w:p>
        </w:tc>
      </w:tr>
      <w:tr>
        <w:tc>
          <w:tcPr/>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Príloha:</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Prezenčná listina zo stretnutia pedagogického klubu</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Príloha správy o činnosti pedagogického klubu              </w:t>
      </w:r>
      <w:r w:rsidDel="00000000" w:rsidR="00000000" w:rsidRPr="00000000">
        <w:rPr>
          <w:color w:val="000000"/>
          <w:rtl w:val="0"/>
        </w:rPr>
        <w:t xml:space="preserve">                                                                               </w:t>
      </w:r>
      <w:r w:rsidDel="00000000" w:rsidR="00000000" w:rsidRPr="00000000">
        <w:rPr>
          <w:color w:val="000000"/>
        </w:rPr>
        <w:drawing>
          <wp:inline distB="0" distT="0" distL="114300" distR="114300">
            <wp:extent cx="5756275" cy="802640"/>
            <wp:effectExtent b="0" l="0" r="0" t="0"/>
            <wp:docPr id="10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275" cy="802640"/>
                    </a:xfrm>
                    <a:prstGeom prst="rect"/>
                    <a:ln/>
                  </pic:spPr>
                </pic:pic>
              </a:graphicData>
            </a:graphic>
          </wp:inline>
        </w:drawing>
      </w: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5940"/>
        <w:tblGridChange w:id="0">
          <w:tblGrid>
            <w:gridCol w:w="3528"/>
            <w:gridCol w:w="5940"/>
          </w:tblGrid>
        </w:tblGridChange>
      </w:tblGrid>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Prioritná os:</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Vzdelávanie</w:t>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Špecifický cieľ:</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Prijímateľ:</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Súkromná základná škola waldorfská, Bratislava, Vihorlatská 10, ďalej len SZŠW</w:t>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projektu:</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Inkluzívna škola ako  učiaca sa organizácia</w:t>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Kód ITMS projektu:</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312011R551</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pedagogického klubu:</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b w:val="1"/>
                <w:color w:val="000000"/>
                <w:rtl w:val="0"/>
              </w:rPr>
              <w:t xml:space="preserve">Klub učiteľov bádateľskej  matematiky v pohybe a ekonomickej matematiky</w:t>
            </w:r>
            <w:r w:rsidDel="00000000" w:rsidR="00000000" w:rsidRPr="00000000">
              <w:rPr>
                <w:rtl w:val="0"/>
              </w:rPr>
            </w:r>
          </w:p>
        </w:tc>
      </w:tr>
    </w:tbl>
    <w:p w:rsidR="00000000" w:rsidDel="00000000" w:rsidP="00000000" w:rsidRDefault="00000000" w:rsidRPr="00000000" w14:paraId="00000053">
      <w:pPr>
        <w:keepNext w:val="1"/>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24"/>
          <w:szCs w:val="24"/>
          <w:rtl w:val="0"/>
        </w:rPr>
        <w:t xml:space="preserve">PREZENČNÁ LISTINA</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konania stretnutia: SZŠW, Vihorlatská 10, Bratislava,</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Dátum konania stretnutia: </w:t>
      </w:r>
      <w:r w:rsidDel="00000000" w:rsidR="00000000" w:rsidRPr="00000000">
        <w:rPr>
          <w:rFonts w:ascii="Times New Roman" w:cs="Times New Roman" w:eastAsia="Times New Roman" w:hAnsi="Times New Roman"/>
          <w:rtl w:val="0"/>
        </w:rPr>
        <w:t xml:space="preserve">9.12</w:t>
      </w:r>
      <w:r w:rsidDel="00000000" w:rsidR="00000000" w:rsidRPr="00000000">
        <w:rPr>
          <w:rFonts w:ascii="Times New Roman" w:cs="Times New Roman" w:eastAsia="Times New Roman" w:hAnsi="Times New Roman"/>
          <w:color w:val="000000"/>
          <w:rtl w:val="0"/>
        </w:rPr>
        <w:t xml:space="preserve">.2020</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Trvanie stretnutia: od 15.00 hod </w:t>
        <w:tab/>
        <w:t xml:space="preserve">do 18. 00 hod.</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Zoznam účastníkov/členov pedagogického klubu:</w:t>
      </w:r>
    </w:p>
    <w:tbl>
      <w:tblPr>
        <w:tblStyle w:val="Table6"/>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
        <w:gridCol w:w="3935"/>
        <w:gridCol w:w="2427"/>
        <w:gridCol w:w="2306"/>
        <w:tblGridChange w:id="0">
          <w:tblGrid>
            <w:gridCol w:w="544"/>
            <w:gridCol w:w="3935"/>
            <w:gridCol w:w="2427"/>
            <w:gridCol w:w="2306"/>
          </w:tblGrid>
        </w:tblGridChange>
      </w:tblGrid>
      <w:tr>
        <w:trPr>
          <w:trHeight w:val="337"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Michal Klučka</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Peter Polák</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Denisa Mátrayová</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Rastislav Čanik</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Jana Karasová</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Zuzana Brezovská</w:t>
            </w: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Žaneta Hanečáková</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Alexandra Paršová</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Tatiana Maťová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Zuzana Kundláková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prizvaných odborníkov/iných účastníkov, ktorí nie sú členmi pedagogického klubu  a podpis/y:</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tbl>
      <w:tblPr>
        <w:tblStyle w:val="Table7"/>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4680"/>
        <w:gridCol w:w="1726"/>
        <w:gridCol w:w="1985"/>
        <w:tblGridChange w:id="0">
          <w:tblGrid>
            <w:gridCol w:w="610"/>
            <w:gridCol w:w="4680"/>
            <w:gridCol w:w="1726"/>
            <w:gridCol w:w="1985"/>
          </w:tblGrid>
        </w:tblGridChange>
      </w:tblGrid>
      <w:tr>
        <w:trPr>
          <w:trHeight w:val="337" w:hRule="atLeast"/>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37" w:hRule="atLeast"/>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Nadpis1">
    <w:name w:val="heading 1"/>
    <w:basedOn w:val="Normlny"/>
    <w:next w:val="Normlny"/>
    <w:pPr>
      <w:keepNext w:val="1"/>
      <w:keepLines w:val="1"/>
      <w:spacing w:after="120" w:before="480"/>
    </w:pPr>
    <w:rPr>
      <w:b w:val="1"/>
      <w:sz w:val="48"/>
      <w:szCs w:val="48"/>
    </w:rPr>
  </w:style>
  <w:style w:type="paragraph" w:styleId="Nadpis2">
    <w:name w:val="heading 2"/>
    <w:basedOn w:val="Normlny"/>
    <w:next w:val="Normlny"/>
    <w:qFormat w:val="1"/>
    <w:pPr>
      <w:keepNext w:val="1"/>
      <w:spacing w:after="60" w:before="240"/>
      <w:outlineLvl w:val="1"/>
    </w:pPr>
    <w:rPr>
      <w:rFonts w:ascii="Cambria" w:cs="Times New Roman" w:eastAsia="Times New Roman" w:hAnsi="Cambria"/>
      <w:b w:val="1"/>
      <w:bCs w:val="1"/>
      <w:i w:val="1"/>
      <w:iCs w:val="1"/>
      <w:sz w:val="28"/>
      <w:szCs w:val="28"/>
    </w:rPr>
  </w:style>
  <w:style w:type="paragraph" w:styleId="Nadpis3">
    <w:name w:val="heading 3"/>
    <w:basedOn w:val="Normlny"/>
    <w:next w:val="Normlny"/>
    <w:pPr>
      <w:keepNext w:val="1"/>
      <w:keepLines w:val="1"/>
      <w:spacing w:after="80" w:before="280"/>
      <w:outlineLvl w:val="2"/>
    </w:pPr>
    <w:rPr>
      <w:b w:val="1"/>
      <w:sz w:val="28"/>
      <w:szCs w:val="28"/>
    </w:rPr>
  </w:style>
  <w:style w:type="paragraph" w:styleId="Nadpis4">
    <w:name w:val="heading 4"/>
    <w:basedOn w:val="Normlny"/>
    <w:next w:val="Normlny"/>
    <w:pPr>
      <w:keepNext w:val="1"/>
      <w:keepLines w:val="1"/>
      <w:spacing w:after="40" w:before="240"/>
      <w:outlineLvl w:val="3"/>
    </w:pPr>
    <w:rPr>
      <w:b w:val="1"/>
      <w:sz w:val="24"/>
      <w:szCs w:val="24"/>
    </w:rPr>
  </w:style>
  <w:style w:type="paragraph" w:styleId="Nadpis5">
    <w:name w:val="heading 5"/>
    <w:basedOn w:val="Normlny"/>
    <w:next w:val="Normlny"/>
    <w:pPr>
      <w:keepNext w:val="1"/>
      <w:keepLines w:val="1"/>
      <w:spacing w:after="40" w:before="220"/>
      <w:outlineLvl w:val="4"/>
    </w:pPr>
    <w:rPr>
      <w:b w:val="1"/>
    </w:rPr>
  </w:style>
  <w:style w:type="paragraph" w:styleId="Nadpis6">
    <w:name w:val="heading 6"/>
    <w:basedOn w:val="Normlny"/>
    <w:next w:val="Normlny"/>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dpis1Chapter" w:customStyle="1">
    <w:name w:val="Nadpis 1;Chapter"/>
    <w:basedOn w:val="Normlny"/>
    <w:next w:val="Normlny"/>
    <w:pPr>
      <w:keepNext w:val="1"/>
      <w:spacing w:after="60" w:before="240" w:line="240" w:lineRule="auto"/>
    </w:pPr>
    <w:rPr>
      <w:rFonts w:ascii="Arial" w:cs="Arial" w:eastAsia="Times New Roman" w:hAnsi="Arial"/>
      <w:b w:val="1"/>
      <w:bCs w:val="1"/>
      <w:kern w:val="32"/>
      <w:sz w:val="32"/>
      <w:szCs w:val="32"/>
      <w:lang w:eastAsia="cs-CZ" w:val="cs-CZ"/>
    </w:rPr>
  </w:style>
  <w:style w:type="character" w:styleId="Nadpis1CharChapterChar" w:customStyle="1">
    <w:name w:val="Nadpis 1 Char;Chapter Char"/>
    <w:rPr>
      <w:rFonts w:ascii="Arial" w:cs="Arial" w:hAnsi="Arial"/>
      <w:b w:val="1"/>
      <w:bCs w:val="1"/>
      <w:w w:val="100"/>
      <w:kern w:val="32"/>
      <w:position w:val="-1"/>
      <w:sz w:val="32"/>
      <w:szCs w:val="32"/>
      <w:effect w:val="none"/>
      <w:vertAlign w:val="baseline"/>
      <w:cs w:val="0"/>
      <w:em w:val="none"/>
      <w:lang w:eastAsia="cs-CZ" w:val="cs-CZ"/>
    </w:rPr>
  </w:style>
  <w:style w:type="paragraph" w:styleId="Textbubliny">
    <w:name w:val="Balloon Text"/>
    <w:basedOn w:val="Normlny"/>
    <w:pPr>
      <w:spacing w:after="0" w:line="240" w:lineRule="auto"/>
    </w:pPr>
    <w:rPr>
      <w:rFonts w:ascii="Tahoma" w:cs="Tahoma" w:hAnsi="Tahoma"/>
      <w:sz w:val="16"/>
      <w:szCs w:val="16"/>
    </w:rPr>
  </w:style>
  <w:style w:type="character" w:styleId="TextbublinyChar" w:customStyle="1">
    <w:name w:val="Text bubliny Char"/>
    <w:rPr>
      <w:rFonts w:ascii="Tahoma" w:cs="Tahoma" w:hAnsi="Tahoma"/>
      <w:w w:val="100"/>
      <w:position w:val="-1"/>
      <w:sz w:val="16"/>
      <w:szCs w:val="16"/>
      <w:effect w:val="none"/>
      <w:vertAlign w:val="baseline"/>
      <w:cs w:val="0"/>
      <w:em w:val="none"/>
    </w:rPr>
  </w:style>
  <w:style w:type="table" w:styleId="Mriekatabuky">
    <w:name w:val="Table Grid"/>
    <w:basedOn w:val="Normlnatabuka"/>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zstupnhosymbolu">
    <w:name w:val="Placeholder Text"/>
    <w:rPr>
      <w:color w:val="808080"/>
      <w:w w:val="100"/>
      <w:position w:val="-1"/>
      <w:effect w:val="none"/>
      <w:vertAlign w:val="baseline"/>
      <w:cs w:val="0"/>
      <w:em w:val="none"/>
    </w:rPr>
  </w:style>
  <w:style w:type="character" w:styleId="tl1" w:customStyle="1">
    <w:name w:val="Štýl1"/>
    <w:rPr>
      <w:rFonts w:ascii="Times New Roman" w:cs="Times New Roman" w:hAnsi="Times New Roman"/>
      <w:b w:val="1"/>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styleId="TextpoznmkypodiarouChar" w:customStyle="1">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val="1"/>
    </w:pPr>
  </w:style>
  <w:style w:type="paragraph" w:styleId="CharCharCharChar" w:customStyle="1">
    <w:name w:val="Char Char Char Char"/>
    <w:basedOn w:val="Normlny"/>
    <w:pPr>
      <w:widowControl w:val="0"/>
      <w:adjustRightInd w:val="0"/>
      <w:spacing w:after="160" w:line="240" w:lineRule="atLeast"/>
      <w:ind w:firstLine="720"/>
      <w:textAlignment w:val="baseline"/>
    </w:pPr>
    <w:rPr>
      <w:rFonts w:ascii="Tahoma" w:cs="Tahoma" w:eastAsia="Times New Roman" w:hAnsi="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styleId="TextkomentraChar" w:customStyle="1">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val="1"/>
      <w:bCs w:val="1"/>
    </w:rPr>
  </w:style>
  <w:style w:type="character" w:styleId="PredmetkomentraChar" w:customStyle="1">
    <w:name w:val="Predmet komentára Char"/>
    <w:rPr>
      <w:b w:val="1"/>
      <w:bCs w:val="1"/>
      <w:w w:val="100"/>
      <w:position w:val="-1"/>
      <w:sz w:val="20"/>
      <w:szCs w:val="20"/>
      <w:effect w:val="none"/>
      <w:vertAlign w:val="baseline"/>
      <w:cs w:val="0"/>
      <w:em w:val="none"/>
    </w:rPr>
  </w:style>
  <w:style w:type="character" w:styleId="Nadpis2Char" w:customStyle="1">
    <w:name w:val="Nadpis 2 Char"/>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Podtitul">
    <w:name w:val="Subtitle"/>
    <w:basedOn w:val="Normlny"/>
    <w:next w:val="Normlny"/>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8.0" w:type="dxa"/>
        <w:bottom w:w="0.0" w:type="dxa"/>
        <w:right w:w="108.0" w:type="dxa"/>
      </w:tblCellMar>
    </w:tblPr>
  </w:style>
  <w:style w:type="table" w:styleId="a0" w:customStyle="1">
    <w:basedOn w:val="TableNormal2"/>
    <w:tblPr>
      <w:tblStyleRowBandSize w:val="1"/>
      <w:tblStyleColBandSize w:val="1"/>
      <w:tblCellMar>
        <w:top w:w="0.0" w:type="dxa"/>
        <w:left w:w="108.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70.0" w:type="dxa"/>
        <w:bottom w:w="0.0" w:type="dxa"/>
        <w:right w:w="70.0" w:type="dxa"/>
      </w:tblCellMar>
    </w:tblPr>
  </w:style>
  <w:style w:type="table" w:styleId="a5" w:customStyle="1">
    <w:basedOn w:val="TableNormal2"/>
    <w:tblPr>
      <w:tblStyleRowBandSize w:val="1"/>
      <w:tblStyleColBandSize w:val="1"/>
      <w:tblCellMar>
        <w:top w:w="0.0" w:type="dxa"/>
        <w:left w:w="70.0" w:type="dxa"/>
        <w:bottom w:w="0.0" w:type="dxa"/>
        <w:right w:w="70.0" w:type="dxa"/>
      </w:tblCellMar>
    </w:tblPr>
  </w:style>
  <w:style w:type="table" w:styleId="a6" w:customStyle="1">
    <w:basedOn w:val="TableNormal2"/>
    <w:tblPr>
      <w:tblStyleRowBandSize w:val="1"/>
      <w:tblStyleColBandSize w:val="1"/>
      <w:tblCellMar>
        <w:top w:w="0.0" w:type="dxa"/>
        <w:left w:w="70.0" w:type="dxa"/>
        <w:bottom w:w="0.0" w:type="dxa"/>
        <w:right w:w="70.0" w:type="dxa"/>
      </w:tblCellMar>
    </w:tblPr>
  </w:style>
  <w:style w:type="table" w:styleId="a7" w:customStyle="1">
    <w:basedOn w:val="TableNormal2"/>
    <w:tblPr>
      <w:tblStyleRowBandSize w:val="1"/>
      <w:tblStyleColBandSize w:val="1"/>
      <w:tblCellMar>
        <w:top w:w="0.0" w:type="dxa"/>
        <w:left w:w="70.0" w:type="dxa"/>
        <w:bottom w:w="0.0" w:type="dxa"/>
        <w:right w:w="70.0" w:type="dxa"/>
      </w:tblCellMar>
    </w:tblPr>
  </w:style>
  <w:style w:type="table" w:styleId="a8" w:customStyle="1">
    <w:basedOn w:val="TableNormal2"/>
    <w:tblPr>
      <w:tblStyleRowBandSize w:val="1"/>
      <w:tblStyleColBandSize w:val="1"/>
      <w:tblCellMar>
        <w:top w:w="0.0" w:type="dxa"/>
        <w:left w:w="70.0" w:type="dxa"/>
        <w:bottom w:w="0.0" w:type="dxa"/>
        <w:right w:w="70.0" w:type="dxa"/>
      </w:tblCellMar>
    </w:tblPr>
  </w:style>
  <w:style w:type="table" w:styleId="a9" w:customStyle="1">
    <w:basedOn w:val="TableNormal2"/>
    <w:tblPr>
      <w:tblStyleRowBandSize w:val="1"/>
      <w:tblStyleColBandSize w:val="1"/>
      <w:tblCellMar>
        <w:top w:w="0.0" w:type="dxa"/>
        <w:left w:w="70.0" w:type="dxa"/>
        <w:bottom w:w="0.0" w:type="dxa"/>
        <w:right w:w="70.0" w:type="dxa"/>
      </w:tblCellMar>
    </w:tblPr>
  </w:style>
  <w:style w:type="table" w:styleId="aa" w:customStyle="1">
    <w:basedOn w:val="TableNormal2"/>
    <w:tblPr>
      <w:tblStyleRowBandSize w:val="1"/>
      <w:tblStyleColBandSize w:val="1"/>
      <w:tblCellMar>
        <w:top w:w="0.0" w:type="dxa"/>
        <w:left w:w="70.0" w:type="dxa"/>
        <w:bottom w:w="0.0" w:type="dxa"/>
        <w:right w:w="70.0" w:type="dxa"/>
      </w:tblCellMar>
    </w:tblPr>
  </w:style>
  <w:style w:type="table" w:styleId="ab" w:customStyle="1">
    <w:basedOn w:val="TableNormal2"/>
    <w:tblPr>
      <w:tblStyleRowBandSize w:val="1"/>
      <w:tblStyleColBandSize w:val="1"/>
      <w:tblCellMar>
        <w:top w:w="0.0" w:type="dxa"/>
        <w:left w:w="70.0" w:type="dxa"/>
        <w:bottom w:w="0.0" w:type="dxa"/>
        <w:right w:w="70.0" w:type="dxa"/>
      </w:tblCellMar>
    </w:tblPr>
  </w:style>
  <w:style w:type="table" w:styleId="ac" w:customStyle="1">
    <w:basedOn w:val="TableNormal2"/>
    <w:tblPr>
      <w:tblStyleRowBandSize w:val="1"/>
      <w:tblStyleColBandSize w:val="1"/>
      <w:tblCellMar>
        <w:top w:w="0.0" w:type="dxa"/>
        <w:left w:w="70.0" w:type="dxa"/>
        <w:bottom w:w="0.0" w:type="dxa"/>
        <w:right w:w="70.0" w:type="dxa"/>
      </w:tblCellMar>
    </w:tblPr>
  </w:style>
  <w:style w:type="table" w:styleId="ad" w:customStyle="1">
    <w:basedOn w:val="TableNormal2"/>
    <w:tblPr>
      <w:tblStyleRowBandSize w:val="1"/>
      <w:tblStyleColBandSize w:val="1"/>
      <w:tblCellMar>
        <w:top w:w="0.0" w:type="dxa"/>
        <w:left w:w="70.0" w:type="dxa"/>
        <w:bottom w:w="0.0" w:type="dxa"/>
        <w:right w:w="70.0" w:type="dxa"/>
      </w:tblCellMar>
    </w:tblPr>
  </w:style>
  <w:style w:type="table" w:styleId="ae" w:customStyle="1">
    <w:basedOn w:val="TableNormal2"/>
    <w:tblPr>
      <w:tblStyleRowBandSize w:val="1"/>
      <w:tblStyleColBandSize w:val="1"/>
      <w:tblCellMar>
        <w:top w:w="0.0" w:type="dxa"/>
        <w:left w:w="70.0" w:type="dxa"/>
        <w:bottom w:w="0.0" w:type="dxa"/>
        <w:right w:w="70.0" w:type="dxa"/>
      </w:tblCellMar>
    </w:tblPr>
  </w:style>
  <w:style w:type="table" w:styleId="af" w:customStyle="1">
    <w:basedOn w:val="TableNormal2"/>
    <w:tblPr>
      <w:tblStyleRowBandSize w:val="1"/>
      <w:tblStyleColBandSize w:val="1"/>
      <w:tblCellMar>
        <w:top w:w="0.0" w:type="dxa"/>
        <w:left w:w="70.0" w:type="dxa"/>
        <w:bottom w:w="0.0" w:type="dxa"/>
        <w:right w:w="70.0" w:type="dxa"/>
      </w:tblCellMar>
    </w:tblPr>
  </w:style>
  <w:style w:type="table" w:styleId="af0" w:customStyle="1">
    <w:basedOn w:val="TableNormal2"/>
    <w:tblPr>
      <w:tblStyleRowBandSize w:val="1"/>
      <w:tblStyleColBandSize w:val="1"/>
      <w:tblCellMar>
        <w:top w:w="0.0" w:type="dxa"/>
        <w:left w:w="70.0" w:type="dxa"/>
        <w:bottom w:w="0.0" w:type="dxa"/>
        <w:right w:w="70.0" w:type="dxa"/>
      </w:tblCellMar>
    </w:tblPr>
  </w:style>
  <w:style w:type="table" w:styleId="af1" w:customStyle="1">
    <w:basedOn w:val="TableNormal2"/>
    <w:tblPr>
      <w:tblStyleRowBandSize w:val="1"/>
      <w:tblStyleColBandSize w:val="1"/>
      <w:tblCellMar>
        <w:top w:w="0.0" w:type="dxa"/>
        <w:left w:w="70.0" w:type="dxa"/>
        <w:bottom w:w="0.0" w:type="dxa"/>
        <w:right w:w="70.0" w:type="dxa"/>
      </w:tblCellMar>
    </w:tblPr>
  </w:style>
  <w:style w:type="table" w:styleId="af2" w:customStyle="1">
    <w:basedOn w:val="TableNormal2"/>
    <w:tblPr>
      <w:tblStyleRowBandSize w:val="1"/>
      <w:tblStyleColBandSize w:val="1"/>
      <w:tblCellMar>
        <w:top w:w="0.0" w:type="dxa"/>
        <w:left w:w="70.0" w:type="dxa"/>
        <w:bottom w:w="0.0" w:type="dxa"/>
        <w:right w:w="70.0" w:type="dxa"/>
      </w:tblCellMar>
    </w:tblPr>
  </w:style>
  <w:style w:type="table" w:styleId="af3" w:customStyle="1">
    <w:basedOn w:val="TableNormal2"/>
    <w:tblPr>
      <w:tblStyleRowBandSize w:val="1"/>
      <w:tblStyleColBandSize w:val="1"/>
      <w:tblCellMar>
        <w:top w:w="0.0" w:type="dxa"/>
        <w:left w:w="70.0" w:type="dxa"/>
        <w:bottom w:w="0.0" w:type="dxa"/>
        <w:right w:w="70.0" w:type="dxa"/>
      </w:tblCellMar>
    </w:tblPr>
  </w:style>
  <w:style w:type="table" w:styleId="af4" w:customStyle="1">
    <w:basedOn w:val="TableNormal2"/>
    <w:tblPr>
      <w:tblStyleRowBandSize w:val="1"/>
      <w:tblStyleColBandSize w:val="1"/>
      <w:tblCellMar>
        <w:top w:w="0.0" w:type="dxa"/>
        <w:left w:w="70.0" w:type="dxa"/>
        <w:bottom w:w="0.0" w:type="dxa"/>
        <w:right w:w="70.0" w:type="dxa"/>
      </w:tblCellMar>
    </w:tblPr>
  </w:style>
  <w:style w:type="table" w:styleId="af5" w:customStyle="1">
    <w:basedOn w:val="TableNormal2"/>
    <w:tblPr>
      <w:tblStyleRowBandSize w:val="1"/>
      <w:tblStyleColBandSize w:val="1"/>
      <w:tblCellMar>
        <w:top w:w="0.0" w:type="dxa"/>
        <w:left w:w="70.0" w:type="dxa"/>
        <w:bottom w:w="0.0" w:type="dxa"/>
        <w:right w:w="70.0" w:type="dxa"/>
      </w:tblCellMar>
    </w:tblPr>
  </w:style>
  <w:style w:type="table" w:styleId="af6" w:customStyle="1">
    <w:basedOn w:val="TableNormal2"/>
    <w:tblPr>
      <w:tblStyleRowBandSize w:val="1"/>
      <w:tblStyleColBandSize w:val="1"/>
      <w:tblCellMar>
        <w:top w:w="0.0" w:type="dxa"/>
        <w:left w:w="70.0" w:type="dxa"/>
        <w:bottom w:w="0.0" w:type="dxa"/>
        <w:right w:w="70.0" w:type="dxa"/>
      </w:tblCellMar>
    </w:tblPr>
  </w:style>
  <w:style w:type="table" w:styleId="af7" w:customStyle="1">
    <w:basedOn w:val="TableNormal2"/>
    <w:tblPr>
      <w:tblStyleRowBandSize w:val="1"/>
      <w:tblStyleColBandSize w:val="1"/>
      <w:tblCellMar>
        <w:top w:w="0.0" w:type="dxa"/>
        <w:left w:w="70.0" w:type="dxa"/>
        <w:bottom w:w="0.0" w:type="dxa"/>
        <w:right w:w="70.0" w:type="dxa"/>
      </w:tblCellMar>
    </w:tblPr>
  </w:style>
  <w:style w:type="table" w:styleId="af8" w:customStyle="1">
    <w:basedOn w:val="TableNormal2"/>
    <w:tblPr>
      <w:tblStyleRowBandSize w:val="1"/>
      <w:tblStyleColBandSize w:val="1"/>
      <w:tblCellMar>
        <w:top w:w="0.0" w:type="dxa"/>
        <w:left w:w="70.0" w:type="dxa"/>
        <w:bottom w:w="0.0" w:type="dxa"/>
        <w:right w:w="70.0" w:type="dxa"/>
      </w:tblCellMar>
    </w:tblPr>
  </w:style>
  <w:style w:type="table" w:styleId="af9" w:customStyle="1">
    <w:basedOn w:val="TableNormal2"/>
    <w:tblPr>
      <w:tblStyleRowBandSize w:val="1"/>
      <w:tblStyleColBandSize w:val="1"/>
      <w:tblCellMar>
        <w:top w:w="0.0" w:type="dxa"/>
        <w:left w:w="70.0" w:type="dxa"/>
        <w:bottom w:w="0.0" w:type="dxa"/>
        <w:right w:w="70.0" w:type="dxa"/>
      </w:tblCellMar>
    </w:tblPr>
  </w:style>
  <w:style w:type="table" w:styleId="afa" w:customStyle="1">
    <w:basedOn w:val="TableNormal2"/>
    <w:tblPr>
      <w:tblStyleRowBandSize w:val="1"/>
      <w:tblStyleColBandSize w:val="1"/>
      <w:tblCellMar>
        <w:top w:w="0.0" w:type="dxa"/>
        <w:left w:w="70.0" w:type="dxa"/>
        <w:bottom w:w="0.0" w:type="dxa"/>
        <w:right w:w="70.0" w:type="dxa"/>
      </w:tblCellMar>
    </w:tblPr>
  </w:style>
  <w:style w:type="paragraph" w:styleId="Normlnywebov">
    <w:name w:val="Normal (Web)"/>
    <w:basedOn w:val="Normlny"/>
    <w:uiPriority w:val="99"/>
    <w:semiHidden w:val="1"/>
    <w:unhideWhenUsed w:val="1"/>
    <w:rsid w:val="00FA272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sk-SK"/>
    </w:rPr>
  </w:style>
  <w:style w:type="character" w:styleId="Siln">
    <w:name w:val="Strong"/>
    <w:uiPriority w:val="22"/>
    <w:qFormat w:val="1"/>
    <w:rsid w:val="00FA272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4hUuz7jkgJri3lzv8H0PfqbVA==">AMUW2mXLCdmRKOWYStUSPYrtODGzMEfZbkHXqNpwMwfCxKvES+IchDGuNyOpnqnO9vnDhfc2f/kTsxMhZfFxfp1cD+0NIodGdtILs+HAO0wl3IeRniZIM9UZNCDRnQH/6jJP6gm3o5oq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2020-09-08T11:48:00Z</dcterms:created>
  <dc:creator>Feková Eva</dc:creator>
</cp:coreProperties>
</file>