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hanging="2"/>
        <w:rPr>
          <w:color w:val="000000"/>
        </w:rPr>
      </w:pPr>
      <w:r w:rsidDel="00000000" w:rsidR="00000000" w:rsidRPr="00000000">
        <w:rPr>
          <w:color w:val="000000"/>
        </w:rPr>
        <w:drawing>
          <wp:inline distB="0" distT="0" distL="114300" distR="114300">
            <wp:extent cx="5755640" cy="721360"/>
            <wp:effectExtent b="0" l="0" r="0" t="0"/>
            <wp:docPr id="10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5640" cy="7213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1" w:hanging="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8"/>
          <w:szCs w:val="28"/>
          <w:rtl w:val="0"/>
        </w:rPr>
        <w:t xml:space="preserve">Správa o činnosti pedagogického klubu </w:t>
      </w: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c>
          <w:tcPr/>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Prioritná os</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4007"/>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Vzdelávanie</w:t>
            </w:r>
          </w:p>
        </w:tc>
      </w:tr>
      <w:tr>
        <w:tc>
          <w:tcPr/>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Špecifický cieľ</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4007"/>
              </w:tabs>
              <w:spacing w:after="0"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 Zvýšiť inkluzívnosť a rovnaký prístup ku kvalitnému vzdelávaniu a zlepšiť výsledky a kompetencie detí a žiakov</w:t>
            </w:r>
          </w:p>
        </w:tc>
      </w:tr>
      <w:tr>
        <w:tc>
          <w:tcPr/>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Prijímateľ</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Súkromná základná škola waldorfská</w:t>
            </w:r>
          </w:p>
        </w:tc>
      </w:tr>
      <w:tr>
        <w:tc>
          <w:tcPr/>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Názov projektu</w:t>
            </w:r>
          </w:p>
        </w:tc>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Rule="auto"/>
              <w:ind w:left="0" w:hanging="2"/>
              <w:rPr>
                <w:rFonts w:ascii="Times New Roman" w:cs="Times New Roman" w:eastAsia="Times New Roman" w:hAnsi="Times New Roman"/>
                <w:color w:val="000000"/>
              </w:rPr>
            </w:pPr>
            <w:r w:rsidDel="00000000" w:rsidR="00000000" w:rsidRPr="00000000">
              <w:rPr>
                <w:rtl w:val="0"/>
              </w:rPr>
            </w:r>
          </w:p>
          <w:tbl>
            <w:tblPr>
              <w:tblStyle w:val="Table2"/>
              <w:tblW w:w="43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0"/>
              <w:tblGridChange w:id="0">
                <w:tblGrid>
                  <w:gridCol w:w="4380"/>
                </w:tblGrid>
              </w:tblGridChange>
            </w:tblGrid>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Inkluzívna škola ako učiaca sa organizácia</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rtl w:val="0"/>
              </w:rPr>
            </w:r>
          </w:p>
        </w:tc>
      </w:tr>
      <w:tr>
        <w:tc>
          <w:tcPr/>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Kód projektu  ITMS2014+</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312011R551 </w:t>
            </w:r>
          </w:p>
        </w:tc>
      </w:tr>
      <w:tr>
        <w:tc>
          <w:tcPr/>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Názov pedagogického klubu </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Klub učiteľov bádateľskej  matematiky v pohybe a ekonomickej matematiky</w:t>
            </w:r>
          </w:p>
        </w:tc>
      </w:tr>
      <w:tr>
        <w:tc>
          <w:tcPr/>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Dátum stretnutia  pedagogického klubu</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rtl w:val="0"/>
              </w:rPr>
              <w:t xml:space="preserve">26.11.2020</w:t>
            </w:r>
            <w:r w:rsidDel="00000000" w:rsidR="00000000" w:rsidRPr="00000000">
              <w:rPr>
                <w:rtl w:val="0"/>
              </w:rPr>
            </w:r>
          </w:p>
        </w:tc>
      </w:tr>
      <w:tr>
        <w:tc>
          <w:tcPr/>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Miesto stretnutia  pedagogického klubu</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SZŠW, Vihorlatská 10, Bratislava</w:t>
            </w:r>
          </w:p>
        </w:tc>
      </w:tr>
      <w:tr>
        <w:tc>
          <w:tcPr/>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koordinátora pedagogického klubu</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Michal Klučka</w:t>
            </w:r>
          </w:p>
        </w:tc>
      </w:tr>
      <w:tr>
        <w:tc>
          <w:tcPr/>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Odkaz na webové sídlo zverejnenej správy</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4007"/>
              </w:tabs>
              <w:spacing w:after="0" w:line="240" w:lineRule="auto"/>
              <w:ind w:left="0" w:hanging="2"/>
              <w:rPr>
                <w:color w:val="000000"/>
              </w:rPr>
            </w:pPr>
            <w:r w:rsidDel="00000000" w:rsidR="00000000" w:rsidRPr="00000000">
              <w:rPr>
                <w:color w:val="000000"/>
                <w:rtl w:val="0"/>
              </w:rPr>
              <w:t xml:space="preserve">http://waldorfskaskola.sk/tema/35/inkluzivna-skola-ako-uciaca-sa-organizacia</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bl>
      <w:tblPr>
        <w:tblStyle w:val="Table3"/>
        <w:tblW w:w="92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66"/>
        <w:tblGridChange w:id="0">
          <w:tblGrid>
            <w:gridCol w:w="9266"/>
          </w:tblGrid>
        </w:tblGridChange>
      </w:tblGrid>
      <w:tr>
        <w:trPr>
          <w:trHeight w:val="1827" w:hRule="atLeast"/>
        </w:trPr>
        <w:tc>
          <w:tcPr/>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Manažérske zhrnutie: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krátka anotácia, kľúčové slová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Spätný pohľad. Čím sme v tomto roku prešli, čo sme sa naučili a čo s tým ďalej.</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rPr>
            </w:pPr>
            <w:r w:rsidDel="00000000" w:rsidR="00000000" w:rsidRPr="00000000">
              <w:rPr>
                <w:rtl w:val="0"/>
              </w:rPr>
            </w:r>
          </w:p>
        </w:tc>
      </w:tr>
      <w:tr>
        <w:trPr>
          <w:trHeight w:val="53" w:hRule="atLeast"/>
        </w:trPr>
        <w:tc>
          <w:tcPr/>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Hlavné body, témy stretnutia, zhrnutie priebehu stretnutia:</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1/ úvodné privítanie, </w:t>
            </w:r>
            <w:r w:rsidDel="00000000" w:rsidR="00000000" w:rsidRPr="00000000">
              <w:rPr>
                <w:rtl w:val="0"/>
              </w:rPr>
            </w:r>
          </w:p>
          <w:p w:rsidR="00000000" w:rsidDel="00000000" w:rsidP="00000000" w:rsidRDefault="00000000" w:rsidRPr="00000000" w14:paraId="00000022">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2/ návrh programu, zhrnutie cieľov</w:t>
            </w:r>
            <w:r w:rsidDel="00000000" w:rsidR="00000000" w:rsidRPr="00000000">
              <w:rPr>
                <w:rtl w:val="0"/>
              </w:rPr>
            </w:r>
          </w:p>
          <w:p w:rsidR="00000000" w:rsidDel="00000000" w:rsidP="00000000" w:rsidRDefault="00000000" w:rsidRPr="00000000" w14:paraId="00000023">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3/ hlavná téma: </w:t>
            </w:r>
            <w:r w:rsidDel="00000000" w:rsidR="00000000" w:rsidRPr="00000000">
              <w:rPr>
                <w:rFonts w:ascii="Times New Roman" w:cs="Times New Roman" w:eastAsia="Times New Roman" w:hAnsi="Times New Roman"/>
                <w:rtl w:val="0"/>
              </w:rPr>
              <w:t xml:space="preserve">spätný pohľad</w:t>
            </w:r>
          </w:p>
          <w:p w:rsidR="00000000" w:rsidDel="00000000" w:rsidP="00000000" w:rsidRDefault="00000000" w:rsidRPr="00000000" w14:paraId="00000024">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4/ diskusia</w:t>
            </w:r>
            <w:r w:rsidDel="00000000" w:rsidR="00000000" w:rsidRPr="00000000">
              <w:rPr>
                <w:rtl w:val="0"/>
              </w:rPr>
            </w:r>
          </w:p>
          <w:p w:rsidR="00000000" w:rsidDel="00000000" w:rsidP="00000000" w:rsidRDefault="00000000" w:rsidRPr="00000000" w14:paraId="00000025">
            <w:pPr>
              <w:tabs>
                <w:tab w:val="left" w:pos="1114"/>
              </w:tabs>
              <w:ind w:left="0" w:hanging="2"/>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 záver</w:t>
            </w:r>
          </w:p>
          <w:p w:rsidR="00000000" w:rsidDel="00000000" w:rsidP="00000000" w:rsidRDefault="00000000" w:rsidRPr="00000000" w14:paraId="00000026">
            <w:pPr>
              <w:tabs>
                <w:tab w:val="left" w:pos="1114"/>
              </w:tabs>
              <w:ind w:left="0" w:hanging="2"/>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7">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Zhrnutie:</w:t>
            </w:r>
            <w:r w:rsidDel="00000000" w:rsidR="00000000" w:rsidRPr="00000000">
              <w:rPr>
                <w:rtl w:val="0"/>
              </w:rPr>
            </w:r>
          </w:p>
          <w:p w:rsidR="00000000" w:rsidDel="00000000" w:rsidP="00000000" w:rsidRDefault="00000000" w:rsidRPr="00000000" w14:paraId="00000028">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Hlavnou témou tohto stretnutia bol spätný pohľad na našu prácu na stretnutiach posledných mesiacov.</w:t>
            </w:r>
          </w:p>
          <w:p w:rsidR="00000000" w:rsidDel="00000000" w:rsidP="00000000" w:rsidRDefault="00000000" w:rsidRPr="00000000" w14:paraId="00000029">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Najviac pozitívnych emócii vo väčšine zanechali stretnutia, ktoré súviseli s kooperatívnym vyučovaním a jeho aplikáciou na hodinách matematiky - tieto stretnutia sa odohrali po dlhšom období, kedy sme nemali možnosť stretávať sa, okrem toho ale medzi zúčastnenými kolovalo nadšenie z toho, ako sa im otvorili nové možnosti nie len v rámci učiva a preberanej látky, ale aj v oblasti sociálnej. </w:t>
            </w:r>
          </w:p>
          <w:p w:rsidR="00000000" w:rsidDel="00000000" w:rsidP="00000000" w:rsidRDefault="00000000" w:rsidRPr="00000000" w14:paraId="0000002A">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Ďalším pozitívom bolo pre viacerých reálne ukážky neštandardný prístupov k rôznym matematickým problémom, či skúšanie si nových metód prístupu k žiakom priamo na stretnutí. Tieto praktické možnosti boli najviac ocenené kolegami, ktorí sa výrazne trápili s otázkou, ako čo najsympatickejšie priblížiť žiakom matematiku, ako v nich vyvolať pozitívne reakcie k učivu ako zlomky, rovnice, či algebra…</w:t>
            </w:r>
          </w:p>
          <w:p w:rsidR="00000000" w:rsidDel="00000000" w:rsidP="00000000" w:rsidRDefault="00000000" w:rsidRPr="00000000" w14:paraId="0000002B">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Čo sa týka opačnej stránky stretnutí, mnohí vnímajú stále limity v rámci fyzickej a psychickej sily - veľká únava berie z členov energiu na niektorých stretnutiach naozaj pracovať naplno, aby dokázali prijať všetko, čo im je k dispozícii. Rovnako zaznel postoj, že vďaka tejto únave nemajú niektorí dostatok síl na to, aby kolegom odovzdali to, čo by chceli, čo by radi ostatným pozdieľali aj napriek veľkej motivácii zúčastňovať sa matematického klubu. </w:t>
            </w:r>
          </w:p>
          <w:p w:rsidR="00000000" w:rsidDel="00000000" w:rsidP="00000000" w:rsidRDefault="00000000" w:rsidRPr="00000000" w14:paraId="0000002C">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budúcnosti sme si dali za cieľ ešte hlbšie vniesť do preberaných tém žiakov so ŠVVP a prísť na spôsob a cestu, ako vďaka našim stretnutiam energiu na ďalšiu prácu získať.</w:t>
            </w:r>
          </w:p>
          <w:p w:rsidR="00000000" w:rsidDel="00000000" w:rsidP="00000000" w:rsidRDefault="00000000" w:rsidRPr="00000000" w14:paraId="0000002D">
            <w:pPr>
              <w:tabs>
                <w:tab w:val="left" w:pos="1114"/>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Záver stretnutia sa niesol v príjemnej hravej atmosfére spoločného brainstormingu - aké žartovné situácie sme so žiakmi v súvislosti s matematikou (ale nie len s ňou) za posledné týždne zažili. </w:t>
            </w:r>
          </w:p>
          <w:p w:rsidR="00000000" w:rsidDel="00000000" w:rsidP="00000000" w:rsidRDefault="00000000" w:rsidRPr="00000000" w14:paraId="0000002E">
            <w:pPr>
              <w:tabs>
                <w:tab w:val="left" w:pos="1114"/>
              </w:tabs>
              <w:spacing w:after="0" w:lineRule="auto"/>
              <w:ind w:left="2"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tl w:val="0"/>
              </w:rPr>
            </w:r>
          </w:p>
        </w:tc>
      </w:tr>
      <w:tr>
        <w:trPr>
          <w:trHeight w:val="2434" w:hRule="atLeast"/>
        </w:trPr>
        <w:tc>
          <w:tcPr/>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Závery a odporúčania:</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114"/>
              </w:tabs>
              <w:spacing w:after="0" w:line="240" w:lineRule="auto"/>
              <w:ind w:left="0" w:firstLine="0"/>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rtl w:val="0"/>
              </w:rPr>
              <w:t xml:space="preserve">Na stretnutí sme sa spoločne obzreli za stretnutiami posledných mesiacov, zhodnotili sme si, čo nám priniesli a premýšľali sme, ako vniesť do stretnutí viac energie. </w:t>
            </w: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color w:val="000000"/>
          <w:rtl w:val="0"/>
        </w:rPr>
        <w:tab/>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5135"/>
        <w:tblGridChange w:id="0">
          <w:tblGrid>
            <w:gridCol w:w="4077"/>
            <w:gridCol w:w="5135"/>
          </w:tblGrid>
        </w:tblGridChange>
      </w:tblGrid>
      <w:tr>
        <w:tc>
          <w:tcPr/>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Vypracoval (meno, priezvisko)</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color w:val="000000"/>
                <w:rtl w:val="0"/>
              </w:rPr>
              <w:t xml:space="preserve">Zuzana Kundláková</w:t>
            </w:r>
          </w:p>
        </w:tc>
      </w:tr>
      <w:tr>
        <w:tc>
          <w:tcPr/>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Dátum</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t xml:space="preserve">27.11.2020</w:t>
            </w:r>
            <w:r w:rsidDel="00000000" w:rsidR="00000000" w:rsidRPr="00000000">
              <w:rPr>
                <w:rtl w:val="0"/>
              </w:rPr>
            </w:r>
          </w:p>
        </w:tc>
      </w:tr>
      <w:tr>
        <w:tc>
          <w:tcPr/>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r>
          </w:p>
        </w:tc>
      </w:tr>
      <w:tr>
        <w:tc>
          <w:tcPr/>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Schválil (meno, priezvisko)</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color w:val="000000"/>
                <w:rtl w:val="0"/>
              </w:rPr>
              <w:t xml:space="preserve">PaedDr. Slávka Šebová</w:t>
            </w:r>
          </w:p>
        </w:tc>
      </w:tr>
      <w:tr>
        <w:tc>
          <w:tcPr/>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Dátum</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t xml:space="preserve">27.11.2020</w:t>
            </w:r>
            <w:r w:rsidDel="00000000" w:rsidR="00000000" w:rsidRPr="00000000">
              <w:rPr>
                <w:rtl w:val="0"/>
              </w:rPr>
            </w:r>
          </w:p>
        </w:tc>
      </w:tr>
      <w:tr>
        <w:tc>
          <w:tcPr/>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tabs>
                <w:tab w:val="left" w:pos="1114"/>
              </w:tabs>
              <w:spacing w:after="0" w:line="240" w:lineRule="auto"/>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114"/>
              </w:tabs>
              <w:spacing w:after="0" w:line="240" w:lineRule="auto"/>
              <w:ind w:left="0" w:hanging="2"/>
              <w:rPr>
                <w:color w:val="000000"/>
              </w:rPr>
            </w:pPr>
            <w:r w:rsidDel="00000000" w:rsidR="00000000" w:rsidRPr="00000000">
              <w:rPr>
                <w:rtl w:val="0"/>
              </w:rPr>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114"/>
        </w:tabs>
        <w:ind w:left="0" w:hanging="2"/>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114"/>
        </w:tabs>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Príloha:</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114"/>
        </w:tabs>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Prezenčná listina zo stretnutia pedagogického klubu</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0" w:hanging="2"/>
        <w:rPr>
          <w:color w:val="000000"/>
        </w:rPr>
      </w:pPr>
      <w:r w:rsidDel="00000000" w:rsidR="00000000" w:rsidRPr="00000000">
        <w:rPr>
          <w:rFonts w:ascii="Times New Roman" w:cs="Times New Roman" w:eastAsia="Times New Roman" w:hAnsi="Times New Roman"/>
          <w:color w:val="000000"/>
          <w:rtl w:val="0"/>
        </w:rPr>
        <w:t xml:space="preserve">Príloha správy o činnosti pedagogického klubu              </w:t>
      </w:r>
      <w:r w:rsidDel="00000000" w:rsidR="00000000" w:rsidRPr="00000000">
        <w:rPr>
          <w:color w:val="000000"/>
          <w:rtl w:val="0"/>
        </w:rPr>
        <w:t xml:space="preserve">                                                                               </w:t>
      </w:r>
      <w:r w:rsidDel="00000000" w:rsidR="00000000" w:rsidRPr="00000000">
        <w:rPr>
          <w:color w:val="000000"/>
        </w:rPr>
        <w:drawing>
          <wp:inline distB="0" distT="0" distL="114300" distR="114300">
            <wp:extent cx="5756275" cy="802640"/>
            <wp:effectExtent b="0" l="0" r="0" t="0"/>
            <wp:docPr id="103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6275" cy="802640"/>
                    </a:xfrm>
                    <a:prstGeom prst="rect"/>
                    <a:ln/>
                  </pic:spPr>
                </pic:pic>
              </a:graphicData>
            </a:graphic>
          </wp:inline>
        </w:drawing>
      </w:r>
      <w:r w:rsidDel="00000000" w:rsidR="00000000" w:rsidRPr="00000000">
        <w:rPr>
          <w:rtl w:val="0"/>
        </w:rPr>
      </w:r>
    </w:p>
    <w:tbl>
      <w:tblPr>
        <w:tblStyle w:val="Table5"/>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5940"/>
        <w:tblGridChange w:id="0">
          <w:tblGrid>
            <w:gridCol w:w="3528"/>
            <w:gridCol w:w="5940"/>
          </w:tblGrid>
        </w:tblGridChange>
      </w:tblGrid>
      <w:tr>
        <w:tc>
          <w:tcPr/>
          <w:p w:rsidR="00000000" w:rsidDel="00000000" w:rsidP="00000000" w:rsidRDefault="00000000" w:rsidRPr="00000000" w14:paraId="0000004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Prioritná os:</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Vzdelávanie</w:t>
            </w:r>
          </w:p>
        </w:tc>
      </w:tr>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Špecifický cieľ:</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1.1.1 Zvýšiť inkluzívnosť a rovnaký prístup ku kvalitnému vzdelávaniu a zlepšiť výsledky a kompetencie detí a žiakov</w:t>
            </w:r>
          </w:p>
        </w:tc>
      </w:tr>
      <w:tr>
        <w:tc>
          <w:tcPr/>
          <w:p w:rsidR="00000000" w:rsidDel="00000000" w:rsidP="00000000" w:rsidRDefault="00000000" w:rsidRPr="00000000" w14:paraId="0000004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Prijímateľ:</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Súkromná základná škola waldorfská, Bratislava, Vihorlatská 10, ďalej len SZŠW</w:t>
            </w:r>
          </w:p>
        </w:tc>
      </w:tr>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Názov projektu:</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Inkluzívna škola ako  učiaca sa organizácia</w:t>
            </w:r>
          </w:p>
        </w:tc>
      </w:tr>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Kód ITMS projektu:</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312011R551</w:t>
            </w:r>
          </w:p>
        </w:tc>
      </w:tr>
      <w:tr>
        <w:tc>
          <w:tcPr/>
          <w:p w:rsidR="00000000" w:rsidDel="00000000" w:rsidP="00000000" w:rsidRDefault="00000000" w:rsidRPr="00000000" w14:paraId="0000004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Názov pedagogického klubu:</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4"/>
                <w:szCs w:val="24"/>
              </w:rPr>
            </w:pPr>
            <w:r w:rsidDel="00000000" w:rsidR="00000000" w:rsidRPr="00000000">
              <w:rPr>
                <w:b w:val="1"/>
                <w:color w:val="000000"/>
                <w:rtl w:val="0"/>
              </w:rPr>
              <w:t xml:space="preserve">Klub učiteľov bádateľskej  matematiky v pohybe a ekonomickej matematiky</w:t>
            </w:r>
            <w:r w:rsidDel="00000000" w:rsidR="00000000" w:rsidRPr="00000000">
              <w:rPr>
                <w:rtl w:val="0"/>
              </w:rPr>
            </w:r>
          </w:p>
        </w:tc>
      </w:tr>
    </w:tbl>
    <w:p w:rsidR="00000000" w:rsidDel="00000000" w:rsidP="00000000" w:rsidRDefault="00000000" w:rsidRPr="00000000" w14:paraId="00000051">
      <w:pPr>
        <w:keepNext w:val="1"/>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24"/>
          <w:szCs w:val="24"/>
          <w:rtl w:val="0"/>
        </w:rPr>
        <w:t xml:space="preserve">PREZENČNÁ LISTINA</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Miesto konania stretnutia: SZŠW, Vihorlatská 10, Bratislava,</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0" w:hanging="2"/>
        <w:rPr>
          <w:color w:val="000000"/>
        </w:rPr>
      </w:pPr>
      <w:r w:rsidDel="00000000" w:rsidR="00000000" w:rsidRPr="00000000">
        <w:rPr>
          <w:rFonts w:ascii="Times New Roman" w:cs="Times New Roman" w:eastAsia="Times New Roman" w:hAnsi="Times New Roman"/>
          <w:color w:val="000000"/>
          <w:rtl w:val="0"/>
        </w:rPr>
        <w:t xml:space="preserve">Dátum konania stretnutia: </w:t>
      </w:r>
      <w:r w:rsidDel="00000000" w:rsidR="00000000" w:rsidRPr="00000000">
        <w:rPr>
          <w:rFonts w:ascii="Times New Roman" w:cs="Times New Roman" w:eastAsia="Times New Roman" w:hAnsi="Times New Roman"/>
          <w:rtl w:val="0"/>
        </w:rPr>
        <w:t xml:space="preserve">27.11</w:t>
      </w:r>
      <w:r w:rsidDel="00000000" w:rsidR="00000000" w:rsidRPr="00000000">
        <w:rPr>
          <w:rFonts w:ascii="Times New Roman" w:cs="Times New Roman" w:eastAsia="Times New Roman" w:hAnsi="Times New Roman"/>
          <w:color w:val="000000"/>
          <w:rtl w:val="0"/>
        </w:rPr>
        <w:t xml:space="preserve">.2020</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Trvanie stretnutia: od 15.00 hod </w:t>
        <w:tab/>
        <w:t xml:space="preserve">do 18. 00 hod.</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Zoznam účastníkov/členov pedagogického klubu:</w:t>
      </w:r>
    </w:p>
    <w:tbl>
      <w:tblPr>
        <w:tblStyle w:val="Table6"/>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
        <w:gridCol w:w="3935"/>
        <w:gridCol w:w="2427"/>
        <w:gridCol w:w="2306"/>
        <w:tblGridChange w:id="0">
          <w:tblGrid>
            <w:gridCol w:w="544"/>
            <w:gridCol w:w="3935"/>
            <w:gridCol w:w="2427"/>
            <w:gridCol w:w="2306"/>
          </w:tblGrid>
        </w:tblGridChange>
      </w:tblGrid>
      <w:tr>
        <w:trPr>
          <w:trHeight w:val="337" w:hRule="atLeast"/>
        </w:trPr>
        <w:tc>
          <w:tcPr/>
          <w:p w:rsidR="00000000" w:rsidDel="00000000" w:rsidP="00000000" w:rsidRDefault="00000000" w:rsidRPr="00000000" w14:paraId="0000005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č.</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a priezvisko</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Inštitúcia</w:t>
            </w:r>
          </w:p>
        </w:tc>
      </w:tr>
      <w:tr>
        <w:trPr>
          <w:trHeight w:val="337" w:hRule="atLeast"/>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Michal Klučka</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37" w:hRule="atLeast"/>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Peter Polák</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37" w:hRule="atLeast"/>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Denisa Mátrayová</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37" w:hRule="atLeast"/>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Rastislav Čanik</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Jana Karasová</w:t>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Zuzana Brezovská</w:t>
            </w: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Žaneta Hanečáková</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Alexandra Paršová</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Tatiana Maťová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Zuzana Kundláková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SZŠW</w:t>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prizvaných odborníkov/iných účastníkov, ktorí nie sú členmi pedagogického klubu  a podpis/y:</w:t>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tbl>
      <w:tblPr>
        <w:tblStyle w:val="Table7"/>
        <w:tblW w:w="90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
        <w:gridCol w:w="4680"/>
        <w:gridCol w:w="1726"/>
        <w:gridCol w:w="1985"/>
        <w:tblGridChange w:id="0">
          <w:tblGrid>
            <w:gridCol w:w="610"/>
            <w:gridCol w:w="4680"/>
            <w:gridCol w:w="1726"/>
            <w:gridCol w:w="1985"/>
          </w:tblGrid>
        </w:tblGridChange>
      </w:tblGrid>
      <w:tr>
        <w:trPr>
          <w:trHeight w:val="337" w:hRule="atLeast"/>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č.</w:t>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Meno a priezvisko</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Inštitúcia</w:t>
            </w:r>
          </w:p>
        </w:tc>
      </w:tr>
      <w:tr>
        <w:trPr>
          <w:trHeight w:val="337" w:hRule="atLeast"/>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37" w:hRule="atLeast"/>
        </w:trPr>
        <w:tc>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pPr>
      <w:suppressAutoHyphens w:val="1"/>
      <w:spacing w:after="200" w:line="276" w:lineRule="auto"/>
      <w:ind w:left="-1" w:leftChars="-1" w:hanging="1" w:hangingChars="1"/>
      <w:textDirection w:val="btLr"/>
      <w:textAlignment w:val="top"/>
      <w:outlineLvl w:val="0"/>
    </w:pPr>
    <w:rPr>
      <w:position w:val="-1"/>
      <w:sz w:val="22"/>
      <w:szCs w:val="22"/>
      <w:lang w:eastAsia="en-US"/>
    </w:rPr>
  </w:style>
  <w:style w:type="paragraph" w:styleId="Nadpis1">
    <w:name w:val="heading 1"/>
    <w:basedOn w:val="Normlny"/>
    <w:next w:val="Normlny"/>
    <w:pPr>
      <w:keepNext w:val="1"/>
      <w:keepLines w:val="1"/>
      <w:spacing w:after="120" w:before="480"/>
    </w:pPr>
    <w:rPr>
      <w:b w:val="1"/>
      <w:sz w:val="48"/>
      <w:szCs w:val="48"/>
    </w:rPr>
  </w:style>
  <w:style w:type="paragraph" w:styleId="Nadpis2">
    <w:name w:val="heading 2"/>
    <w:basedOn w:val="Normlny"/>
    <w:next w:val="Normlny"/>
    <w:qFormat w:val="1"/>
    <w:pPr>
      <w:keepNext w:val="1"/>
      <w:spacing w:after="60" w:before="240"/>
      <w:outlineLvl w:val="1"/>
    </w:pPr>
    <w:rPr>
      <w:rFonts w:ascii="Cambria" w:cs="Times New Roman" w:eastAsia="Times New Roman" w:hAnsi="Cambria"/>
      <w:b w:val="1"/>
      <w:bCs w:val="1"/>
      <w:i w:val="1"/>
      <w:iCs w:val="1"/>
      <w:sz w:val="28"/>
      <w:szCs w:val="28"/>
    </w:rPr>
  </w:style>
  <w:style w:type="paragraph" w:styleId="Nadpis3">
    <w:name w:val="heading 3"/>
    <w:basedOn w:val="Normlny"/>
    <w:next w:val="Normlny"/>
    <w:pPr>
      <w:keepNext w:val="1"/>
      <w:keepLines w:val="1"/>
      <w:spacing w:after="80" w:before="280"/>
      <w:outlineLvl w:val="2"/>
    </w:pPr>
    <w:rPr>
      <w:b w:val="1"/>
      <w:sz w:val="28"/>
      <w:szCs w:val="28"/>
    </w:rPr>
  </w:style>
  <w:style w:type="paragraph" w:styleId="Nadpis4">
    <w:name w:val="heading 4"/>
    <w:basedOn w:val="Normlny"/>
    <w:next w:val="Normlny"/>
    <w:pPr>
      <w:keepNext w:val="1"/>
      <w:keepLines w:val="1"/>
      <w:spacing w:after="40" w:before="240"/>
      <w:outlineLvl w:val="3"/>
    </w:pPr>
    <w:rPr>
      <w:b w:val="1"/>
      <w:sz w:val="24"/>
      <w:szCs w:val="24"/>
    </w:rPr>
  </w:style>
  <w:style w:type="paragraph" w:styleId="Nadpis5">
    <w:name w:val="heading 5"/>
    <w:basedOn w:val="Normlny"/>
    <w:next w:val="Normlny"/>
    <w:pPr>
      <w:keepNext w:val="1"/>
      <w:keepLines w:val="1"/>
      <w:spacing w:after="40" w:before="220"/>
      <w:outlineLvl w:val="4"/>
    </w:pPr>
    <w:rPr>
      <w:b w:val="1"/>
    </w:rPr>
  </w:style>
  <w:style w:type="paragraph" w:styleId="Nadpis6">
    <w:name w:val="heading 6"/>
    <w:basedOn w:val="Normlny"/>
    <w:next w:val="Normlny"/>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dpis1Chapter" w:customStyle="1">
    <w:name w:val="Nadpis 1;Chapter"/>
    <w:basedOn w:val="Normlny"/>
    <w:next w:val="Normlny"/>
    <w:pPr>
      <w:keepNext w:val="1"/>
      <w:spacing w:after="60" w:before="240" w:line="240" w:lineRule="auto"/>
    </w:pPr>
    <w:rPr>
      <w:rFonts w:ascii="Arial" w:cs="Arial" w:eastAsia="Times New Roman" w:hAnsi="Arial"/>
      <w:b w:val="1"/>
      <w:bCs w:val="1"/>
      <w:kern w:val="32"/>
      <w:sz w:val="32"/>
      <w:szCs w:val="32"/>
      <w:lang w:eastAsia="cs-CZ" w:val="cs-CZ"/>
    </w:rPr>
  </w:style>
  <w:style w:type="character" w:styleId="Nadpis1CharChapterChar" w:customStyle="1">
    <w:name w:val="Nadpis 1 Char;Chapter Char"/>
    <w:rPr>
      <w:rFonts w:ascii="Arial" w:cs="Arial" w:hAnsi="Arial"/>
      <w:b w:val="1"/>
      <w:bCs w:val="1"/>
      <w:w w:val="100"/>
      <w:kern w:val="32"/>
      <w:position w:val="-1"/>
      <w:sz w:val="32"/>
      <w:szCs w:val="32"/>
      <w:effect w:val="none"/>
      <w:vertAlign w:val="baseline"/>
      <w:cs w:val="0"/>
      <w:em w:val="none"/>
      <w:lang w:eastAsia="cs-CZ" w:val="cs-CZ"/>
    </w:rPr>
  </w:style>
  <w:style w:type="paragraph" w:styleId="Textbubliny">
    <w:name w:val="Balloon Text"/>
    <w:basedOn w:val="Normlny"/>
    <w:pPr>
      <w:spacing w:after="0" w:line="240" w:lineRule="auto"/>
    </w:pPr>
    <w:rPr>
      <w:rFonts w:ascii="Tahoma" w:cs="Tahoma" w:hAnsi="Tahoma"/>
      <w:sz w:val="16"/>
      <w:szCs w:val="16"/>
    </w:rPr>
  </w:style>
  <w:style w:type="character" w:styleId="TextbublinyChar" w:customStyle="1">
    <w:name w:val="Text bubliny Char"/>
    <w:rPr>
      <w:rFonts w:ascii="Tahoma" w:cs="Tahoma" w:hAnsi="Tahoma"/>
      <w:w w:val="100"/>
      <w:position w:val="-1"/>
      <w:sz w:val="16"/>
      <w:szCs w:val="16"/>
      <w:effect w:val="none"/>
      <w:vertAlign w:val="baseline"/>
      <w:cs w:val="0"/>
      <w:em w:val="none"/>
    </w:rPr>
  </w:style>
  <w:style w:type="table" w:styleId="Mriekatabuky">
    <w:name w:val="Table Grid"/>
    <w:basedOn w:val="Normlnatabuka"/>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xtzstupnhosymbolu">
    <w:name w:val="Placeholder Text"/>
    <w:rPr>
      <w:color w:val="808080"/>
      <w:w w:val="100"/>
      <w:position w:val="-1"/>
      <w:effect w:val="none"/>
      <w:vertAlign w:val="baseline"/>
      <w:cs w:val="0"/>
      <w:em w:val="none"/>
    </w:rPr>
  </w:style>
  <w:style w:type="character" w:styleId="tl1" w:customStyle="1">
    <w:name w:val="Štýl1"/>
    <w:rPr>
      <w:rFonts w:ascii="Times New Roman" w:cs="Times New Roman" w:hAnsi="Times New Roman"/>
      <w:b w:val="1"/>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styleId="TextpoznmkypodiarouChar" w:customStyle="1">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val="1"/>
    </w:pPr>
  </w:style>
  <w:style w:type="paragraph" w:styleId="CharCharCharChar" w:customStyle="1">
    <w:name w:val="Char Char Char Char"/>
    <w:basedOn w:val="Normlny"/>
    <w:pPr>
      <w:widowControl w:val="0"/>
      <w:adjustRightInd w:val="0"/>
      <w:spacing w:after="160" w:line="240" w:lineRule="atLeast"/>
      <w:ind w:firstLine="720"/>
      <w:textAlignment w:val="baseline"/>
    </w:pPr>
    <w:rPr>
      <w:rFonts w:ascii="Tahoma" w:cs="Tahoma" w:eastAsia="Times New Roman" w:hAnsi="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styleId="TextkomentraChar" w:customStyle="1">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val="1"/>
      <w:bCs w:val="1"/>
    </w:rPr>
  </w:style>
  <w:style w:type="character" w:styleId="PredmetkomentraChar" w:customStyle="1">
    <w:name w:val="Predmet komentára Char"/>
    <w:rPr>
      <w:b w:val="1"/>
      <w:bCs w:val="1"/>
      <w:w w:val="100"/>
      <w:position w:val="-1"/>
      <w:sz w:val="20"/>
      <w:szCs w:val="20"/>
      <w:effect w:val="none"/>
      <w:vertAlign w:val="baseline"/>
      <w:cs w:val="0"/>
      <w:em w:val="none"/>
    </w:rPr>
  </w:style>
  <w:style w:type="character" w:styleId="Nadpis2Char" w:customStyle="1">
    <w:name w:val="Nadpis 2 Char"/>
    <w:rPr>
      <w:rFonts w:ascii="Cambria" w:cs="Times New Roman" w:eastAsia="Times New Roman" w:hAnsi="Cambria"/>
      <w:b w:val="1"/>
      <w:bCs w:val="1"/>
      <w:i w:val="1"/>
      <w:iCs w:val="1"/>
      <w:w w:val="100"/>
      <w:position w:val="-1"/>
      <w:sz w:val="28"/>
      <w:szCs w:val="28"/>
      <w:effect w:val="none"/>
      <w:vertAlign w:val="baseline"/>
      <w:cs w:val="0"/>
      <w:em w:val="none"/>
      <w:lang w:eastAsia="en-US"/>
    </w:rPr>
  </w:style>
  <w:style w:type="paragraph" w:styleId="Podtitul">
    <w:name w:val="Subtitle"/>
    <w:basedOn w:val="Normlny"/>
    <w:next w:val="Normlny"/>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0.0" w:type="dxa"/>
        <w:left w:w="108.0" w:type="dxa"/>
        <w:bottom w:w="0.0" w:type="dxa"/>
        <w:right w:w="108.0" w:type="dxa"/>
      </w:tblCellMar>
    </w:tblPr>
  </w:style>
  <w:style w:type="table" w:styleId="a0" w:customStyle="1">
    <w:basedOn w:val="TableNormal2"/>
    <w:tblPr>
      <w:tblStyleRowBandSize w:val="1"/>
      <w:tblStyleColBandSize w:val="1"/>
      <w:tblCellMar>
        <w:top w:w="0.0" w:type="dxa"/>
        <w:left w:w="108.0" w:type="dxa"/>
        <w:bottom w:w="0.0" w:type="dxa"/>
        <w:right w:w="108.0" w:type="dxa"/>
      </w:tblCellMar>
    </w:tblPr>
  </w:style>
  <w:style w:type="table" w:styleId="a1" w:customStyle="1">
    <w:basedOn w:val="TableNormal2"/>
    <w:tblPr>
      <w:tblStyleRowBandSize w:val="1"/>
      <w:tblStyleColBandSize w:val="1"/>
      <w:tblCellMar>
        <w:top w:w="0.0" w:type="dxa"/>
        <w:left w:w="108.0" w:type="dxa"/>
        <w:bottom w:w="0.0" w:type="dxa"/>
        <w:right w:w="108.0" w:type="dxa"/>
      </w:tblCellMar>
    </w:tblPr>
  </w:style>
  <w:style w:type="table" w:styleId="a2" w:customStyle="1">
    <w:basedOn w:val="TableNormal2"/>
    <w:tblPr>
      <w:tblStyleRowBandSize w:val="1"/>
      <w:tblStyleColBandSize w:val="1"/>
      <w:tblCellMar>
        <w:top w:w="0.0" w:type="dxa"/>
        <w:left w:w="108.0" w:type="dxa"/>
        <w:bottom w:w="0.0" w:type="dxa"/>
        <w:right w:w="108.0" w:type="dxa"/>
      </w:tblCellMar>
    </w:tblPr>
  </w:style>
  <w:style w:type="table" w:styleId="a3" w:customStyle="1">
    <w:basedOn w:val="TableNormal2"/>
    <w:tblPr>
      <w:tblStyleRowBandSize w:val="1"/>
      <w:tblStyleColBandSize w:val="1"/>
      <w:tblCellMar>
        <w:top w:w="0.0" w:type="dxa"/>
        <w:left w:w="108.0" w:type="dxa"/>
        <w:bottom w:w="0.0" w:type="dxa"/>
        <w:right w:w="108.0" w:type="dxa"/>
      </w:tblCellMar>
    </w:tblPr>
  </w:style>
  <w:style w:type="table" w:styleId="a4" w:customStyle="1">
    <w:basedOn w:val="TableNormal2"/>
    <w:tblPr>
      <w:tblStyleRowBandSize w:val="1"/>
      <w:tblStyleColBandSize w:val="1"/>
      <w:tblCellMar>
        <w:top w:w="0.0" w:type="dxa"/>
        <w:left w:w="70.0" w:type="dxa"/>
        <w:bottom w:w="0.0" w:type="dxa"/>
        <w:right w:w="70.0" w:type="dxa"/>
      </w:tblCellMar>
    </w:tblPr>
  </w:style>
  <w:style w:type="table" w:styleId="a5" w:customStyle="1">
    <w:basedOn w:val="TableNormal2"/>
    <w:tblPr>
      <w:tblStyleRowBandSize w:val="1"/>
      <w:tblStyleColBandSize w:val="1"/>
      <w:tblCellMar>
        <w:top w:w="0.0" w:type="dxa"/>
        <w:left w:w="70.0" w:type="dxa"/>
        <w:bottom w:w="0.0" w:type="dxa"/>
        <w:right w:w="70.0" w:type="dxa"/>
      </w:tblCellMar>
    </w:tblPr>
  </w:style>
  <w:style w:type="table" w:styleId="a6" w:customStyle="1">
    <w:basedOn w:val="TableNormal2"/>
    <w:tblPr>
      <w:tblStyleRowBandSize w:val="1"/>
      <w:tblStyleColBandSize w:val="1"/>
      <w:tblCellMar>
        <w:top w:w="0.0" w:type="dxa"/>
        <w:left w:w="70.0" w:type="dxa"/>
        <w:bottom w:w="0.0" w:type="dxa"/>
        <w:right w:w="70.0" w:type="dxa"/>
      </w:tblCellMar>
    </w:tblPr>
  </w:style>
  <w:style w:type="table" w:styleId="a7" w:customStyle="1">
    <w:basedOn w:val="TableNormal2"/>
    <w:tblPr>
      <w:tblStyleRowBandSize w:val="1"/>
      <w:tblStyleColBandSize w:val="1"/>
      <w:tblCellMar>
        <w:top w:w="0.0" w:type="dxa"/>
        <w:left w:w="70.0" w:type="dxa"/>
        <w:bottom w:w="0.0" w:type="dxa"/>
        <w:right w:w="70.0" w:type="dxa"/>
      </w:tblCellMar>
    </w:tblPr>
  </w:style>
  <w:style w:type="table" w:styleId="a8" w:customStyle="1">
    <w:basedOn w:val="TableNormal2"/>
    <w:tblPr>
      <w:tblStyleRowBandSize w:val="1"/>
      <w:tblStyleColBandSize w:val="1"/>
      <w:tblCellMar>
        <w:top w:w="0.0" w:type="dxa"/>
        <w:left w:w="70.0" w:type="dxa"/>
        <w:bottom w:w="0.0" w:type="dxa"/>
        <w:right w:w="70.0" w:type="dxa"/>
      </w:tblCellMar>
    </w:tblPr>
  </w:style>
  <w:style w:type="table" w:styleId="a9" w:customStyle="1">
    <w:basedOn w:val="TableNormal2"/>
    <w:tblPr>
      <w:tblStyleRowBandSize w:val="1"/>
      <w:tblStyleColBandSize w:val="1"/>
      <w:tblCellMar>
        <w:top w:w="0.0" w:type="dxa"/>
        <w:left w:w="70.0" w:type="dxa"/>
        <w:bottom w:w="0.0" w:type="dxa"/>
        <w:right w:w="70.0" w:type="dxa"/>
      </w:tblCellMar>
    </w:tblPr>
  </w:style>
  <w:style w:type="table" w:styleId="aa" w:customStyle="1">
    <w:basedOn w:val="TableNormal2"/>
    <w:tblPr>
      <w:tblStyleRowBandSize w:val="1"/>
      <w:tblStyleColBandSize w:val="1"/>
      <w:tblCellMar>
        <w:top w:w="0.0" w:type="dxa"/>
        <w:left w:w="70.0" w:type="dxa"/>
        <w:bottom w:w="0.0" w:type="dxa"/>
        <w:right w:w="70.0" w:type="dxa"/>
      </w:tblCellMar>
    </w:tblPr>
  </w:style>
  <w:style w:type="table" w:styleId="ab" w:customStyle="1">
    <w:basedOn w:val="TableNormal2"/>
    <w:tblPr>
      <w:tblStyleRowBandSize w:val="1"/>
      <w:tblStyleColBandSize w:val="1"/>
      <w:tblCellMar>
        <w:top w:w="0.0" w:type="dxa"/>
        <w:left w:w="70.0" w:type="dxa"/>
        <w:bottom w:w="0.0" w:type="dxa"/>
        <w:right w:w="70.0" w:type="dxa"/>
      </w:tblCellMar>
    </w:tblPr>
  </w:style>
  <w:style w:type="table" w:styleId="ac" w:customStyle="1">
    <w:basedOn w:val="TableNormal2"/>
    <w:tblPr>
      <w:tblStyleRowBandSize w:val="1"/>
      <w:tblStyleColBandSize w:val="1"/>
      <w:tblCellMar>
        <w:top w:w="0.0" w:type="dxa"/>
        <w:left w:w="70.0" w:type="dxa"/>
        <w:bottom w:w="0.0" w:type="dxa"/>
        <w:right w:w="70.0" w:type="dxa"/>
      </w:tblCellMar>
    </w:tblPr>
  </w:style>
  <w:style w:type="table" w:styleId="ad" w:customStyle="1">
    <w:basedOn w:val="TableNormal2"/>
    <w:tblPr>
      <w:tblStyleRowBandSize w:val="1"/>
      <w:tblStyleColBandSize w:val="1"/>
      <w:tblCellMar>
        <w:top w:w="0.0" w:type="dxa"/>
        <w:left w:w="70.0" w:type="dxa"/>
        <w:bottom w:w="0.0" w:type="dxa"/>
        <w:right w:w="70.0" w:type="dxa"/>
      </w:tblCellMar>
    </w:tblPr>
  </w:style>
  <w:style w:type="table" w:styleId="ae" w:customStyle="1">
    <w:basedOn w:val="TableNormal2"/>
    <w:tblPr>
      <w:tblStyleRowBandSize w:val="1"/>
      <w:tblStyleColBandSize w:val="1"/>
      <w:tblCellMar>
        <w:top w:w="0.0" w:type="dxa"/>
        <w:left w:w="70.0" w:type="dxa"/>
        <w:bottom w:w="0.0" w:type="dxa"/>
        <w:right w:w="70.0" w:type="dxa"/>
      </w:tblCellMar>
    </w:tblPr>
  </w:style>
  <w:style w:type="table" w:styleId="af" w:customStyle="1">
    <w:basedOn w:val="TableNormal2"/>
    <w:tblPr>
      <w:tblStyleRowBandSize w:val="1"/>
      <w:tblStyleColBandSize w:val="1"/>
      <w:tblCellMar>
        <w:top w:w="0.0" w:type="dxa"/>
        <w:left w:w="70.0" w:type="dxa"/>
        <w:bottom w:w="0.0" w:type="dxa"/>
        <w:right w:w="70.0" w:type="dxa"/>
      </w:tblCellMar>
    </w:tblPr>
  </w:style>
  <w:style w:type="table" w:styleId="af0" w:customStyle="1">
    <w:basedOn w:val="TableNormal2"/>
    <w:tblPr>
      <w:tblStyleRowBandSize w:val="1"/>
      <w:tblStyleColBandSize w:val="1"/>
      <w:tblCellMar>
        <w:top w:w="0.0" w:type="dxa"/>
        <w:left w:w="70.0" w:type="dxa"/>
        <w:bottom w:w="0.0" w:type="dxa"/>
        <w:right w:w="70.0" w:type="dxa"/>
      </w:tblCellMar>
    </w:tblPr>
  </w:style>
  <w:style w:type="table" w:styleId="af1" w:customStyle="1">
    <w:basedOn w:val="TableNormal2"/>
    <w:tblPr>
      <w:tblStyleRowBandSize w:val="1"/>
      <w:tblStyleColBandSize w:val="1"/>
      <w:tblCellMar>
        <w:top w:w="0.0" w:type="dxa"/>
        <w:left w:w="70.0" w:type="dxa"/>
        <w:bottom w:w="0.0" w:type="dxa"/>
        <w:right w:w="70.0" w:type="dxa"/>
      </w:tblCellMar>
    </w:tblPr>
  </w:style>
  <w:style w:type="table" w:styleId="af2" w:customStyle="1">
    <w:basedOn w:val="TableNormal2"/>
    <w:tblPr>
      <w:tblStyleRowBandSize w:val="1"/>
      <w:tblStyleColBandSize w:val="1"/>
      <w:tblCellMar>
        <w:top w:w="0.0" w:type="dxa"/>
        <w:left w:w="70.0" w:type="dxa"/>
        <w:bottom w:w="0.0" w:type="dxa"/>
        <w:right w:w="70.0" w:type="dxa"/>
      </w:tblCellMar>
    </w:tblPr>
  </w:style>
  <w:style w:type="table" w:styleId="af3" w:customStyle="1">
    <w:basedOn w:val="TableNormal2"/>
    <w:tblPr>
      <w:tblStyleRowBandSize w:val="1"/>
      <w:tblStyleColBandSize w:val="1"/>
      <w:tblCellMar>
        <w:top w:w="0.0" w:type="dxa"/>
        <w:left w:w="70.0" w:type="dxa"/>
        <w:bottom w:w="0.0" w:type="dxa"/>
        <w:right w:w="70.0" w:type="dxa"/>
      </w:tblCellMar>
    </w:tblPr>
  </w:style>
  <w:style w:type="table" w:styleId="af4" w:customStyle="1">
    <w:basedOn w:val="TableNormal2"/>
    <w:tblPr>
      <w:tblStyleRowBandSize w:val="1"/>
      <w:tblStyleColBandSize w:val="1"/>
      <w:tblCellMar>
        <w:top w:w="0.0" w:type="dxa"/>
        <w:left w:w="70.0" w:type="dxa"/>
        <w:bottom w:w="0.0" w:type="dxa"/>
        <w:right w:w="70.0" w:type="dxa"/>
      </w:tblCellMar>
    </w:tblPr>
  </w:style>
  <w:style w:type="table" w:styleId="af5" w:customStyle="1">
    <w:basedOn w:val="TableNormal2"/>
    <w:tblPr>
      <w:tblStyleRowBandSize w:val="1"/>
      <w:tblStyleColBandSize w:val="1"/>
      <w:tblCellMar>
        <w:top w:w="0.0" w:type="dxa"/>
        <w:left w:w="70.0" w:type="dxa"/>
        <w:bottom w:w="0.0" w:type="dxa"/>
        <w:right w:w="70.0" w:type="dxa"/>
      </w:tblCellMar>
    </w:tblPr>
  </w:style>
  <w:style w:type="table" w:styleId="af6" w:customStyle="1">
    <w:basedOn w:val="TableNormal2"/>
    <w:tblPr>
      <w:tblStyleRowBandSize w:val="1"/>
      <w:tblStyleColBandSize w:val="1"/>
      <w:tblCellMar>
        <w:top w:w="0.0" w:type="dxa"/>
        <w:left w:w="70.0" w:type="dxa"/>
        <w:bottom w:w="0.0" w:type="dxa"/>
        <w:right w:w="70.0" w:type="dxa"/>
      </w:tblCellMar>
    </w:tblPr>
  </w:style>
  <w:style w:type="table" w:styleId="af7" w:customStyle="1">
    <w:basedOn w:val="TableNormal2"/>
    <w:tblPr>
      <w:tblStyleRowBandSize w:val="1"/>
      <w:tblStyleColBandSize w:val="1"/>
      <w:tblCellMar>
        <w:top w:w="0.0" w:type="dxa"/>
        <w:left w:w="70.0" w:type="dxa"/>
        <w:bottom w:w="0.0" w:type="dxa"/>
        <w:right w:w="70.0" w:type="dxa"/>
      </w:tblCellMar>
    </w:tblPr>
  </w:style>
  <w:style w:type="table" w:styleId="af8" w:customStyle="1">
    <w:basedOn w:val="TableNormal2"/>
    <w:tblPr>
      <w:tblStyleRowBandSize w:val="1"/>
      <w:tblStyleColBandSize w:val="1"/>
      <w:tblCellMar>
        <w:top w:w="0.0" w:type="dxa"/>
        <w:left w:w="70.0" w:type="dxa"/>
        <w:bottom w:w="0.0" w:type="dxa"/>
        <w:right w:w="70.0" w:type="dxa"/>
      </w:tblCellMar>
    </w:tblPr>
  </w:style>
  <w:style w:type="table" w:styleId="af9" w:customStyle="1">
    <w:basedOn w:val="TableNormal2"/>
    <w:tblPr>
      <w:tblStyleRowBandSize w:val="1"/>
      <w:tblStyleColBandSize w:val="1"/>
      <w:tblCellMar>
        <w:top w:w="0.0" w:type="dxa"/>
        <w:left w:w="70.0" w:type="dxa"/>
        <w:bottom w:w="0.0" w:type="dxa"/>
        <w:right w:w="70.0" w:type="dxa"/>
      </w:tblCellMar>
    </w:tblPr>
  </w:style>
  <w:style w:type="table" w:styleId="afa" w:customStyle="1">
    <w:basedOn w:val="TableNormal2"/>
    <w:tblPr>
      <w:tblStyleRowBandSize w:val="1"/>
      <w:tblStyleColBandSize w:val="1"/>
      <w:tblCellMar>
        <w:top w:w="0.0" w:type="dxa"/>
        <w:left w:w="70.0" w:type="dxa"/>
        <w:bottom w:w="0.0" w:type="dxa"/>
        <w:right w:w="70.0" w:type="dxa"/>
      </w:tblCellMar>
    </w:tblPr>
  </w:style>
  <w:style w:type="paragraph" w:styleId="Normlnywebov">
    <w:name w:val="Normal (Web)"/>
    <w:basedOn w:val="Normlny"/>
    <w:uiPriority w:val="99"/>
    <w:semiHidden w:val="1"/>
    <w:unhideWhenUsed w:val="1"/>
    <w:rsid w:val="00FA272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sz w:val="24"/>
      <w:szCs w:val="24"/>
      <w:lang w:eastAsia="sk-SK"/>
    </w:rPr>
  </w:style>
  <w:style w:type="character" w:styleId="Siln">
    <w:name w:val="Strong"/>
    <w:uiPriority w:val="22"/>
    <w:qFormat w:val="1"/>
    <w:rsid w:val="00FA272E"/>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00tMqW37KfRVwlwQo0cSjGYAw==">AMUW2mWWycisj4jCmr9GGDG7S2RApPyHPs432pXxn15VlfVkmrPuTSPcFrsLjtNYpM6Lp7LGJL4/MzI6hrl3VvSn8jJI9zpv3nRVvm+6PHzDFFpisp4fDeWRxDT7HFbj/rpqDnoimJfP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2020-09-08T11:48:00Z</dcterms:created>
  <dc:creator>Feková Eva</dc:creator>
</cp:coreProperties>
</file>