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13" w:rsidRDefault="00CC3355">
      <w:pPr>
        <w:pBdr>
          <w:top w:val="nil"/>
          <w:left w:val="nil"/>
          <w:bottom w:val="nil"/>
          <w:right w:val="nil"/>
          <w:between w:val="nil"/>
        </w:pBdr>
        <w:ind w:left="0" w:hanging="2"/>
        <w:rPr>
          <w:color w:val="000000"/>
        </w:rPr>
      </w:pPr>
      <w:r>
        <w:rPr>
          <w:noProof/>
          <w:color w:val="000000"/>
          <w:lang w:eastAsia="sk-SK"/>
        </w:rPr>
        <w:drawing>
          <wp:inline distT="0" distB="0" distL="114300" distR="114300">
            <wp:extent cx="5755640" cy="721360"/>
            <wp:effectExtent l="0" t="0" r="0" b="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5640" cy="721360"/>
                    </a:xfrm>
                    <a:prstGeom prst="rect">
                      <a:avLst/>
                    </a:prstGeom>
                    <a:ln/>
                  </pic:spPr>
                </pic:pic>
              </a:graphicData>
            </a:graphic>
          </wp:inline>
        </w:drawing>
      </w:r>
    </w:p>
    <w:p w:rsidR="00A53213" w:rsidRDefault="00A53213">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A53213" w:rsidRDefault="00CC3355">
      <w:pPr>
        <w:pBdr>
          <w:top w:val="nil"/>
          <w:left w:val="nil"/>
          <w:bottom w:val="nil"/>
          <w:right w:val="nil"/>
          <w:between w:val="nil"/>
        </w:pBdr>
        <w:ind w:left="1" w:hanging="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Správa o činnosti pedagogického klubu </w:t>
      </w:r>
    </w:p>
    <w:tbl>
      <w:tblPr>
        <w:tblStyle w:val="afb"/>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A53213">
        <w:tc>
          <w:tcPr>
            <w:tcW w:w="4606" w:type="dxa"/>
          </w:tcPr>
          <w:p w:rsidR="00A53213" w:rsidRDefault="00CC3355">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rsidR="00A53213" w:rsidRDefault="00CC3355">
            <w:pPr>
              <w:pBdr>
                <w:top w:val="nil"/>
                <w:left w:val="nil"/>
                <w:bottom w:val="nil"/>
                <w:right w:val="nil"/>
                <w:between w:val="nil"/>
              </w:pBdr>
              <w:tabs>
                <w:tab w:val="left" w:pos="4007"/>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Vzdelávanie</w:t>
            </w:r>
          </w:p>
        </w:tc>
      </w:tr>
      <w:tr w:rsidR="00A53213">
        <w:tc>
          <w:tcPr>
            <w:tcW w:w="4606" w:type="dxa"/>
          </w:tcPr>
          <w:p w:rsidR="00A53213" w:rsidRDefault="00CC3355">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p>
        </w:tc>
        <w:tc>
          <w:tcPr>
            <w:tcW w:w="4606" w:type="dxa"/>
          </w:tcPr>
          <w:p w:rsidR="00A53213" w:rsidRDefault="00CC3355">
            <w:pPr>
              <w:pBdr>
                <w:top w:val="nil"/>
                <w:left w:val="nil"/>
                <w:bottom w:val="nil"/>
                <w:right w:val="nil"/>
                <w:between w:val="nil"/>
              </w:pBdr>
              <w:tabs>
                <w:tab w:val="left" w:pos="4007"/>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1.1.1 Zvýšiť inkluzívnosť a rovnaký prístup ku kvalitnému vzdelávaniu a zlepšiť výsledky a kompetencie detí a žiakov</w:t>
            </w:r>
          </w:p>
        </w:tc>
      </w:tr>
      <w:tr w:rsidR="00A53213">
        <w:tc>
          <w:tcPr>
            <w:tcW w:w="4606" w:type="dxa"/>
          </w:tcPr>
          <w:p w:rsidR="00A53213" w:rsidRDefault="00CC3355">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rsidR="00A53213" w:rsidRDefault="00CC3355">
            <w:pPr>
              <w:pBdr>
                <w:top w:val="nil"/>
                <w:left w:val="nil"/>
                <w:bottom w:val="nil"/>
                <w:right w:val="nil"/>
                <w:between w:val="nil"/>
              </w:pBdr>
              <w:tabs>
                <w:tab w:val="left" w:pos="4007"/>
              </w:tabs>
              <w:spacing w:after="0" w:line="240" w:lineRule="auto"/>
              <w:ind w:left="0" w:hanging="2"/>
              <w:rPr>
                <w:color w:val="000000"/>
              </w:rPr>
            </w:pPr>
            <w:r>
              <w:rPr>
                <w:color w:val="000000"/>
              </w:rPr>
              <w:t>Súkromná základná škola waldorfská</w:t>
            </w:r>
          </w:p>
        </w:tc>
      </w:tr>
      <w:tr w:rsidR="00A53213">
        <w:tc>
          <w:tcPr>
            <w:tcW w:w="4606" w:type="dxa"/>
          </w:tcPr>
          <w:p w:rsidR="00A53213" w:rsidRDefault="00CC3355">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rsidR="00A53213" w:rsidRDefault="00A53213">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bl>
            <w:tblPr>
              <w:tblStyle w:val="afc"/>
              <w:tblW w:w="4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tblGrid>
            <w:tr w:rsidR="00A53213">
              <w:tc>
                <w:tcPr>
                  <w:tcW w:w="4380" w:type="dxa"/>
                </w:tcPr>
                <w:p w:rsidR="00A53213" w:rsidRDefault="00CC3355">
                  <w:pPr>
                    <w:pBdr>
                      <w:top w:val="nil"/>
                      <w:left w:val="nil"/>
                      <w:bottom w:val="nil"/>
                      <w:right w:val="nil"/>
                      <w:between w:val="nil"/>
                    </w:pBdr>
                    <w:tabs>
                      <w:tab w:val="left" w:pos="4007"/>
                    </w:tabs>
                    <w:spacing w:after="0" w:line="240" w:lineRule="auto"/>
                    <w:ind w:left="0" w:hanging="2"/>
                    <w:rPr>
                      <w:color w:val="000000"/>
                    </w:rPr>
                  </w:pPr>
                  <w:r>
                    <w:rPr>
                      <w:color w:val="000000"/>
                    </w:rPr>
                    <w:t>Inkluzívna škola ako učiaca sa organizácia</w:t>
                  </w:r>
                </w:p>
              </w:tc>
            </w:tr>
          </w:tbl>
          <w:p w:rsidR="00A53213" w:rsidRDefault="00A53213">
            <w:pPr>
              <w:pBdr>
                <w:top w:val="nil"/>
                <w:left w:val="nil"/>
                <w:bottom w:val="nil"/>
                <w:right w:val="nil"/>
                <w:between w:val="nil"/>
              </w:pBdr>
              <w:tabs>
                <w:tab w:val="left" w:pos="4007"/>
              </w:tabs>
              <w:spacing w:after="0" w:line="240" w:lineRule="auto"/>
              <w:ind w:left="0" w:hanging="2"/>
              <w:rPr>
                <w:color w:val="000000"/>
              </w:rPr>
            </w:pPr>
          </w:p>
        </w:tc>
      </w:tr>
      <w:tr w:rsidR="00A53213">
        <w:tc>
          <w:tcPr>
            <w:tcW w:w="4606" w:type="dxa"/>
          </w:tcPr>
          <w:p w:rsidR="00A53213" w:rsidRDefault="00CC3355">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rsidR="00A53213" w:rsidRDefault="00CC3355">
            <w:pPr>
              <w:pBdr>
                <w:top w:val="nil"/>
                <w:left w:val="nil"/>
                <w:bottom w:val="nil"/>
                <w:right w:val="nil"/>
                <w:between w:val="nil"/>
              </w:pBdr>
              <w:tabs>
                <w:tab w:val="left" w:pos="4007"/>
              </w:tabs>
              <w:spacing w:after="0" w:line="240" w:lineRule="auto"/>
              <w:ind w:left="0" w:hanging="2"/>
              <w:rPr>
                <w:color w:val="000000"/>
              </w:rPr>
            </w:pPr>
            <w:r>
              <w:rPr>
                <w:color w:val="000000"/>
              </w:rPr>
              <w:t xml:space="preserve">312011R551 </w:t>
            </w:r>
          </w:p>
        </w:tc>
      </w:tr>
      <w:tr w:rsidR="00A53213">
        <w:tc>
          <w:tcPr>
            <w:tcW w:w="4606" w:type="dxa"/>
          </w:tcPr>
          <w:p w:rsidR="00A53213" w:rsidRDefault="00CC3355">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rsidR="00A53213" w:rsidRDefault="00CC3355">
            <w:pPr>
              <w:pBdr>
                <w:top w:val="nil"/>
                <w:left w:val="nil"/>
                <w:bottom w:val="nil"/>
                <w:right w:val="nil"/>
                <w:between w:val="nil"/>
              </w:pBdr>
              <w:tabs>
                <w:tab w:val="left" w:pos="4007"/>
              </w:tabs>
              <w:spacing w:after="0" w:line="240" w:lineRule="auto"/>
              <w:ind w:left="0" w:hanging="2"/>
              <w:rPr>
                <w:color w:val="000000"/>
              </w:rPr>
            </w:pPr>
            <w:r>
              <w:rPr>
                <w:color w:val="000000"/>
              </w:rPr>
              <w:t>Klub učiteľov bádateľskej  matematiky v pohybe a ekonomickej matematiky</w:t>
            </w:r>
          </w:p>
        </w:tc>
      </w:tr>
      <w:tr w:rsidR="00A53213">
        <w:tc>
          <w:tcPr>
            <w:tcW w:w="4606" w:type="dxa"/>
          </w:tcPr>
          <w:p w:rsidR="00A53213" w:rsidRDefault="00CC3355">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rsidR="00A53213" w:rsidRDefault="00CC3355">
            <w:pPr>
              <w:pBdr>
                <w:top w:val="nil"/>
                <w:left w:val="nil"/>
                <w:bottom w:val="nil"/>
                <w:right w:val="nil"/>
                <w:between w:val="nil"/>
              </w:pBdr>
              <w:tabs>
                <w:tab w:val="left" w:pos="4007"/>
              </w:tabs>
              <w:spacing w:after="0" w:line="240" w:lineRule="auto"/>
              <w:ind w:left="0" w:hanging="2"/>
              <w:rPr>
                <w:color w:val="000000"/>
              </w:rPr>
            </w:pPr>
            <w:r>
              <w:t>12.11.2020</w:t>
            </w:r>
          </w:p>
        </w:tc>
      </w:tr>
      <w:tr w:rsidR="00A53213">
        <w:tc>
          <w:tcPr>
            <w:tcW w:w="4606" w:type="dxa"/>
          </w:tcPr>
          <w:p w:rsidR="00A53213" w:rsidRDefault="00CC3355">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rsidR="00A53213" w:rsidRDefault="00CC3355">
            <w:pPr>
              <w:pBdr>
                <w:top w:val="nil"/>
                <w:left w:val="nil"/>
                <w:bottom w:val="nil"/>
                <w:right w:val="nil"/>
                <w:between w:val="nil"/>
              </w:pBdr>
              <w:tabs>
                <w:tab w:val="left" w:pos="4007"/>
              </w:tabs>
              <w:spacing w:after="0" w:line="240" w:lineRule="auto"/>
              <w:ind w:left="0" w:hanging="2"/>
              <w:rPr>
                <w:color w:val="000000"/>
              </w:rPr>
            </w:pPr>
            <w:r>
              <w:rPr>
                <w:color w:val="000000"/>
              </w:rPr>
              <w:t>SZŠW, Vihorlatská 10, Bratislava</w:t>
            </w:r>
          </w:p>
        </w:tc>
      </w:tr>
      <w:tr w:rsidR="00A53213">
        <w:tc>
          <w:tcPr>
            <w:tcW w:w="4606" w:type="dxa"/>
          </w:tcPr>
          <w:p w:rsidR="00A53213" w:rsidRDefault="00CC3355">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rsidR="00A53213" w:rsidRDefault="00CC3355">
            <w:pPr>
              <w:pBdr>
                <w:top w:val="nil"/>
                <w:left w:val="nil"/>
                <w:bottom w:val="nil"/>
                <w:right w:val="nil"/>
                <w:between w:val="nil"/>
              </w:pBdr>
              <w:tabs>
                <w:tab w:val="left" w:pos="4007"/>
              </w:tabs>
              <w:spacing w:after="0" w:line="240" w:lineRule="auto"/>
              <w:ind w:left="0" w:hanging="2"/>
              <w:rPr>
                <w:color w:val="000000"/>
              </w:rPr>
            </w:pPr>
            <w:r>
              <w:rPr>
                <w:color w:val="000000"/>
              </w:rPr>
              <w:t>Michal Klučka</w:t>
            </w:r>
          </w:p>
        </w:tc>
      </w:tr>
      <w:tr w:rsidR="00A53213">
        <w:tc>
          <w:tcPr>
            <w:tcW w:w="4606" w:type="dxa"/>
          </w:tcPr>
          <w:p w:rsidR="00A53213" w:rsidRDefault="00CC3355">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rsidR="00A53213" w:rsidRDefault="00CC3355">
            <w:pPr>
              <w:pBdr>
                <w:top w:val="nil"/>
                <w:left w:val="nil"/>
                <w:bottom w:val="nil"/>
                <w:right w:val="nil"/>
                <w:between w:val="nil"/>
              </w:pBdr>
              <w:tabs>
                <w:tab w:val="left" w:pos="4007"/>
              </w:tabs>
              <w:spacing w:after="0" w:line="240" w:lineRule="auto"/>
              <w:ind w:left="0" w:hanging="2"/>
              <w:rPr>
                <w:color w:val="000000"/>
              </w:rPr>
            </w:pPr>
            <w:r>
              <w:rPr>
                <w:color w:val="000000"/>
              </w:rPr>
              <w:t>http://waldorfskaskola.sk/tema/35/inkluzivna-skola-ako-uciaca-sa-organizacia</w:t>
            </w:r>
          </w:p>
        </w:tc>
      </w:tr>
    </w:tbl>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bl>
      <w:tblPr>
        <w:tblStyle w:val="afd"/>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6"/>
      </w:tblGrid>
      <w:tr w:rsidR="00A53213">
        <w:trPr>
          <w:trHeight w:val="1827"/>
        </w:trPr>
        <w:tc>
          <w:tcPr>
            <w:tcW w:w="9266" w:type="dxa"/>
          </w:tcPr>
          <w:p w:rsidR="00A53213" w:rsidRDefault="00CC3355">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A53213" w:rsidRDefault="00CC3355">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krátka anotácia, kľúčové slová </w:t>
            </w:r>
          </w:p>
          <w:p w:rsidR="00A53213" w:rsidRDefault="00CC3355">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 xml:space="preserve">Kooperatívne vyučovanie na matematike. Využívame rôzne prvky kooperatívneho vyučovania - na získavanie sociálnych zručností a ich upevňovanie. </w:t>
            </w:r>
          </w:p>
        </w:tc>
      </w:tr>
      <w:tr w:rsidR="00A53213">
        <w:trPr>
          <w:trHeight w:val="53"/>
        </w:trPr>
        <w:tc>
          <w:tcPr>
            <w:tcW w:w="9266" w:type="dxa"/>
          </w:tcPr>
          <w:p w:rsidR="00A53213" w:rsidRDefault="00CC3355">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Hlavné body, témy stretnutia, zhrnutie priebehu stretnutia</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
          <w:p w:rsidR="00A53213" w:rsidRDefault="00A53213">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p w:rsidR="00A53213" w:rsidRDefault="00CC3355">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 xml:space="preserve">1/ úvodné privítanie, </w:t>
            </w:r>
          </w:p>
          <w:p w:rsidR="00A53213" w:rsidRDefault="00CC3355">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2/ návrh programu, zhrnutie cieľov</w:t>
            </w:r>
          </w:p>
          <w:p w:rsidR="00A53213" w:rsidRDefault="00CC3355">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 xml:space="preserve">3/ hlavná téma: </w:t>
            </w:r>
            <w:r>
              <w:rPr>
                <w:rFonts w:ascii="Times New Roman" w:eastAsia="Times New Roman" w:hAnsi="Times New Roman" w:cs="Times New Roman"/>
              </w:rPr>
              <w:t>kooperatívne vyučovanie na matematike - získavanie sociálnych zručností</w:t>
            </w:r>
          </w:p>
          <w:p w:rsidR="00A53213" w:rsidRDefault="00CC3355">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4/ diskusia</w:t>
            </w:r>
          </w:p>
          <w:p w:rsidR="00A53213" w:rsidRDefault="00CC3355">
            <w:pPr>
              <w:tabs>
                <w:tab w:val="left" w:pos="1114"/>
              </w:tabs>
              <w:ind w:left="0" w:hanging="2"/>
              <w:rPr>
                <w:rFonts w:ascii="Times New Roman" w:eastAsia="Times New Roman" w:hAnsi="Times New Roman" w:cs="Times New Roman"/>
                <w:i/>
              </w:rPr>
            </w:pPr>
            <w:r>
              <w:rPr>
                <w:rFonts w:ascii="Times New Roman" w:eastAsia="Times New Roman" w:hAnsi="Times New Roman" w:cs="Times New Roman"/>
                <w:i/>
              </w:rPr>
              <w:t>5/ záver</w:t>
            </w:r>
          </w:p>
          <w:p w:rsidR="00A53213" w:rsidRDefault="00A53213">
            <w:pPr>
              <w:tabs>
                <w:tab w:val="left" w:pos="1114"/>
              </w:tabs>
              <w:ind w:left="0" w:hanging="2"/>
              <w:rPr>
                <w:rFonts w:ascii="Times New Roman" w:eastAsia="Times New Roman" w:hAnsi="Times New Roman" w:cs="Times New Roman"/>
                <w:i/>
              </w:rPr>
            </w:pPr>
          </w:p>
          <w:p w:rsidR="00A53213" w:rsidRDefault="00CC3355">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Zhrnutie:</w:t>
            </w:r>
          </w:p>
          <w:p w:rsidR="00A53213" w:rsidRDefault="00CC3355">
            <w:pPr>
              <w:tabs>
                <w:tab w:val="left" w:pos="1114"/>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Najväčší podiel na osobnostnom raste žiaka, jeho študijnom výkone i na jeho spokojnosti má interakcia s inými žiakmi. V podmienkach kooperatívneho vyučovania žiaci dosiahnu cieľ len </w:t>
            </w:r>
            <w:r>
              <w:rPr>
                <w:rFonts w:ascii="Times New Roman" w:eastAsia="Times New Roman" w:hAnsi="Times New Roman" w:cs="Times New Roman"/>
                <w:sz w:val="24"/>
                <w:szCs w:val="24"/>
              </w:rPr>
              <w:lastRenderedPageBreak/>
              <w:t>za predpokladu vzájomnej interakcie. Musia pochopiť, že môžu dosiahnuť svo</w:t>
            </w:r>
            <w:r>
              <w:rPr>
                <w:rFonts w:ascii="Times New Roman" w:eastAsia="Times New Roman" w:hAnsi="Times New Roman" w:cs="Times New Roman"/>
                <w:sz w:val="24"/>
                <w:szCs w:val="24"/>
              </w:rPr>
              <w:t>j cieľ len ak aj ostatní žiaci s ktorými sú v spojení v úlohe, dosiahnu cieľ. Zmysel kooperatívnej výučby spočíva v posilnení jednotlivca - po výučbe organizovanej kooperatívnym spôsobom by mali byť žiaci schopní plniť podobné úlohy sami.</w:t>
            </w:r>
          </w:p>
          <w:p w:rsidR="00A53213" w:rsidRDefault="00CC3355">
            <w:pPr>
              <w:tabs>
                <w:tab w:val="left" w:pos="1114"/>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Bez realizácie ko</w:t>
            </w:r>
            <w:r>
              <w:rPr>
                <w:rFonts w:ascii="Times New Roman" w:eastAsia="Times New Roman" w:hAnsi="Times New Roman" w:cs="Times New Roman"/>
                <w:sz w:val="24"/>
                <w:szCs w:val="24"/>
              </w:rPr>
              <w:t>operatívneho vyučovania nie je možné dostatočne podporovať otvorené vstupovanie do sociálnych vzťahov, naučiť sa kooperovať v skupine, preberať na seba zodpovednosť, rozvíjať sociálnu vnímavosť a citlivosť k ostatným deťom, učiteľom a okoliu. V rámci matem</w:t>
            </w:r>
            <w:r>
              <w:rPr>
                <w:rFonts w:ascii="Times New Roman" w:eastAsia="Times New Roman" w:hAnsi="Times New Roman" w:cs="Times New Roman"/>
                <w:sz w:val="24"/>
                <w:szCs w:val="24"/>
              </w:rPr>
              <w:t>atiky ide hlavne o efektívne učenie sa spôsobom, kedy žiaci rozvíjajú svoje schopnosti aplikovať jednotlivé vedomosti, zručnosti a návyky v praktickej činnosti.</w:t>
            </w:r>
          </w:p>
          <w:p w:rsidR="00A53213" w:rsidRDefault="00CC3355" w:rsidP="00CC3355">
            <w:pPr>
              <w:tabs>
                <w:tab w:val="left" w:pos="1114"/>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Táto forma výučby motivuje žiakov k práci v oveľa väčšej miere, sú svedomitejší, dokážu sa súst</w:t>
            </w:r>
            <w:r>
              <w:rPr>
                <w:rFonts w:ascii="Times New Roman" w:eastAsia="Times New Roman" w:hAnsi="Times New Roman" w:cs="Times New Roman"/>
                <w:sz w:val="24"/>
                <w:szCs w:val="24"/>
              </w:rPr>
              <w:t xml:space="preserve">rediť na dlhšiu dobu, ochotne spolupracujú, viac spolu komunikujú. Spoločnou prácou sa buduje medzi žiakmi pocit spolupatričnosti, dochádza k prehĺbeniu vzťahov medzi nimi. </w:t>
            </w:r>
          </w:p>
          <w:p w:rsidR="00A53213" w:rsidRDefault="00CC3355">
            <w:pPr>
              <w:tabs>
                <w:tab w:val="left" w:pos="1114"/>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 podmienkach kooperatívneho vyučovania si žiaci môžu osvojiť spôsobilosti typické</w:t>
            </w:r>
            <w:r>
              <w:rPr>
                <w:rFonts w:ascii="Times New Roman" w:eastAsia="Times New Roman" w:hAnsi="Times New Roman" w:cs="Times New Roman"/>
                <w:sz w:val="24"/>
                <w:szCs w:val="24"/>
              </w:rPr>
              <w:t xml:space="preserve"> pre viaceré kľúčové kompetencie:</w:t>
            </w:r>
          </w:p>
          <w:p w:rsidR="00A53213" w:rsidRDefault="00CC3355" w:rsidP="00CC3355">
            <w:pPr>
              <w:numPr>
                <w:ilvl w:val="0"/>
                <w:numId w:val="1"/>
              </w:numPr>
              <w:tabs>
                <w:tab w:val="left" w:pos="1114"/>
              </w:tabs>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zvyšuje sa čas ich schopnosti sústredene počúvať, prijať informácie, </w:t>
            </w:r>
          </w:p>
          <w:p w:rsidR="00A53213" w:rsidRDefault="00CC3355" w:rsidP="00CC3355">
            <w:pPr>
              <w:numPr>
                <w:ilvl w:val="0"/>
                <w:numId w:val="1"/>
              </w:numPr>
              <w:tabs>
                <w:tab w:val="left" w:pos="1114"/>
              </w:tabs>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zvyšuje sa schopnosť rešpektovať názory iných ľudí,</w:t>
            </w:r>
            <w:r>
              <w:rPr>
                <w:rFonts w:ascii="Times New Roman" w:eastAsia="Times New Roman" w:hAnsi="Times New Roman" w:cs="Times New Roman"/>
                <w:sz w:val="14"/>
                <w:szCs w:val="14"/>
              </w:rPr>
              <w:t xml:space="preserve"> </w:t>
            </w:r>
          </w:p>
          <w:p w:rsidR="00A53213" w:rsidRDefault="00CC3355" w:rsidP="00CC3355">
            <w:pPr>
              <w:numPr>
                <w:ilvl w:val="0"/>
                <w:numId w:val="1"/>
              </w:numPr>
              <w:tabs>
                <w:tab w:val="left" w:pos="1114"/>
              </w:tabs>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žiaci sú schopní vyjadriť svoj názor a obhájiť ho, </w:t>
            </w:r>
            <w:r>
              <w:rPr>
                <w:rFonts w:ascii="Times New Roman" w:eastAsia="Times New Roman" w:hAnsi="Times New Roman" w:cs="Times New Roman"/>
                <w:sz w:val="14"/>
                <w:szCs w:val="14"/>
              </w:rPr>
              <w:t xml:space="preserve"> </w:t>
            </w:r>
          </w:p>
          <w:p w:rsidR="00A53213" w:rsidRDefault="00CC3355" w:rsidP="00CC3355">
            <w:pPr>
              <w:numPr>
                <w:ilvl w:val="0"/>
                <w:numId w:val="1"/>
              </w:numPr>
              <w:tabs>
                <w:tab w:val="left" w:pos="1114"/>
              </w:tabs>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zvýši sa potreba ústretovo komunikovať pre vyt</w:t>
            </w:r>
            <w:r>
              <w:rPr>
                <w:rFonts w:ascii="Times New Roman" w:eastAsia="Times New Roman" w:hAnsi="Times New Roman" w:cs="Times New Roman"/>
                <w:sz w:val="24"/>
                <w:szCs w:val="24"/>
              </w:rPr>
              <w:t xml:space="preserve">váranie dobrých vzťahov so spolužiakmi, </w:t>
            </w:r>
          </w:p>
          <w:p w:rsidR="00A53213" w:rsidRDefault="00CC3355" w:rsidP="00CC3355">
            <w:pPr>
              <w:numPr>
                <w:ilvl w:val="0"/>
                <w:numId w:val="1"/>
              </w:numPr>
              <w:tabs>
                <w:tab w:val="left" w:pos="1114"/>
              </w:tabs>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žiaci sa správajú v skupine a kolektíve podľa spoločenských pravidiel a noriem, </w:t>
            </w:r>
          </w:p>
          <w:p w:rsidR="00A53213" w:rsidRDefault="00CC3355" w:rsidP="00CC3355">
            <w:pPr>
              <w:numPr>
                <w:ilvl w:val="0"/>
                <w:numId w:val="1"/>
              </w:numPr>
              <w:tabs>
                <w:tab w:val="left" w:pos="1114"/>
              </w:tabs>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preberajú spoluzodpovednosť za seba aj za činnosť skupiny, </w:t>
            </w:r>
          </w:p>
          <w:p w:rsidR="00A53213" w:rsidRDefault="00CC3355" w:rsidP="00CC3355">
            <w:pPr>
              <w:numPr>
                <w:ilvl w:val="0"/>
                <w:numId w:val="1"/>
              </w:numPr>
              <w:tabs>
                <w:tab w:val="left" w:pos="1114"/>
              </w:tabs>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dokážu spolupracovať v skupine, pracovať pre kolektív, </w:t>
            </w:r>
          </w:p>
          <w:p w:rsidR="00A53213" w:rsidRDefault="00CC3355" w:rsidP="00CC3355">
            <w:pPr>
              <w:numPr>
                <w:ilvl w:val="0"/>
                <w:numId w:val="1"/>
              </w:numPr>
              <w:tabs>
                <w:tab w:val="left" w:pos="1114"/>
              </w:tabs>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nemajú problém prijať kritiku od iných. </w:t>
            </w:r>
          </w:p>
          <w:p w:rsidR="00A53213" w:rsidRDefault="00CC3355" w:rsidP="00CC3355">
            <w:pPr>
              <w:tabs>
                <w:tab w:val="left" w:pos="1114"/>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 učiteľa je tento spôsob vedenia hodiny nesmierne náročných. Učiteľ musí byť dostatočne pripravený a bdelý, aby dokázal žiakov navádzať správnym smerom, aby vedel, kedy má zasiahnuť, a v akom prípade žiakov nechať vyriešiť si problém bez jeho zásahu, mu</w:t>
            </w:r>
            <w:r>
              <w:rPr>
                <w:rFonts w:ascii="Times New Roman" w:eastAsia="Times New Roman" w:hAnsi="Times New Roman" w:cs="Times New Roman"/>
                <w:sz w:val="24"/>
                <w:szCs w:val="24"/>
              </w:rPr>
              <w:t>sí neustále bdelo pozorovať všetky skupinky. Je len na ňom, do akej miery bude potenciál kooperatívnej hodiny využitý. Preto by pre efektívnu realizáciu kooperatívneho vyučovania mal okrem toho, že je naozaj výborne pripravený a sústredený, aj:</w:t>
            </w:r>
          </w:p>
          <w:p w:rsidR="00A53213" w:rsidRDefault="00CC3355" w:rsidP="00CC3355">
            <w:pPr>
              <w:numPr>
                <w:ilvl w:val="0"/>
                <w:numId w:val="3"/>
              </w:numPr>
              <w:tabs>
                <w:tab w:val="left" w:pos="1114"/>
              </w:tabs>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zabezpečiť </w:t>
            </w:r>
            <w:r>
              <w:rPr>
                <w:rFonts w:ascii="Times New Roman" w:eastAsia="Times New Roman" w:hAnsi="Times New Roman" w:cs="Times New Roman"/>
                <w:sz w:val="24"/>
                <w:szCs w:val="24"/>
              </w:rPr>
              <w:t>pozitívnu vzájomnú závislosť členov skupiny - schopnosť vnímať, že sú prepojení so svojimi spolužiakmi takým spôsobom, že môžu uspieť jedine ak uspejú aj ostatní členovia skupinky a  musia koordinovať svoje úsilie s ich úsilím, aby dokázali ukončiť úlohu</w:t>
            </w:r>
          </w:p>
          <w:p w:rsidR="00A53213" w:rsidRDefault="00CC3355" w:rsidP="00CC3355">
            <w:pPr>
              <w:numPr>
                <w:ilvl w:val="0"/>
                <w:numId w:val="3"/>
              </w:numPr>
              <w:tabs>
                <w:tab w:val="left" w:pos="1114"/>
              </w:tabs>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Pr>
                <w:rFonts w:ascii="Times New Roman" w:eastAsia="Times New Roman" w:hAnsi="Times New Roman" w:cs="Times New Roman"/>
                <w:sz w:val="24"/>
                <w:szCs w:val="24"/>
              </w:rPr>
              <w:t>abezpečiť vzájomný kontakt členov skupiny - schopnosť vzájomne sa vidieť a vnímať</w:t>
            </w:r>
          </w:p>
          <w:p w:rsidR="00A53213" w:rsidRDefault="00CC3355" w:rsidP="00CC3355">
            <w:pPr>
              <w:numPr>
                <w:ilvl w:val="0"/>
                <w:numId w:val="3"/>
              </w:numPr>
              <w:tabs>
                <w:tab w:val="left" w:pos="1114"/>
              </w:tabs>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posilňovať osobnú zodpovednosť členov skupiny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každý člen skupiny by mal byť zapojený do práce, </w:t>
            </w:r>
          </w:p>
          <w:p w:rsidR="00A53213" w:rsidRDefault="00CC3355" w:rsidP="00CC3355">
            <w:pPr>
              <w:numPr>
                <w:ilvl w:val="0"/>
                <w:numId w:val="3"/>
              </w:numPr>
              <w:tabs>
                <w:tab w:val="left" w:pos="1114"/>
              </w:tabs>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zdokonaľovať interpersonálne a komunikatívne zručnosti žiakov</w:t>
            </w:r>
            <w:r>
              <w:rPr>
                <w:rFonts w:ascii="Times New Roman" w:eastAsia="Times New Roman" w:hAnsi="Times New Roman" w:cs="Times New Roman"/>
                <w:i/>
                <w:sz w:val="24"/>
                <w:szCs w:val="24"/>
              </w:rPr>
              <w:t xml:space="preserve"> </w:t>
            </w:r>
          </w:p>
          <w:p w:rsidR="00A53213" w:rsidRDefault="00CC3355" w:rsidP="00CC3355">
            <w:pPr>
              <w:numPr>
                <w:ilvl w:val="0"/>
                <w:numId w:val="3"/>
              </w:numPr>
              <w:tabs>
                <w:tab w:val="left" w:pos="1114"/>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usmerňovať pr</w:t>
            </w:r>
            <w:r>
              <w:rPr>
                <w:rFonts w:ascii="Times New Roman" w:eastAsia="Times New Roman" w:hAnsi="Times New Roman" w:cs="Times New Roman"/>
                <w:sz w:val="24"/>
                <w:szCs w:val="24"/>
              </w:rPr>
              <w:t xml:space="preserve">ácu skupín žiakov - efektívnosť závisí od toho, ako žiaci v skupine </w:t>
            </w:r>
            <w:r>
              <w:rPr>
                <w:rFonts w:ascii="Times New Roman" w:eastAsia="Times New Roman" w:hAnsi="Times New Roman" w:cs="Times New Roman"/>
                <w:sz w:val="24"/>
                <w:szCs w:val="24"/>
              </w:rPr>
              <w:lastRenderedPageBreak/>
              <w:t>opisujú svoju činnosť, ako rozhodujú o svojich ďalších krokoch</w:t>
            </w:r>
          </w:p>
          <w:p w:rsidR="00A53213" w:rsidRDefault="00A53213" w:rsidP="00CC3355">
            <w:pPr>
              <w:tabs>
                <w:tab w:val="left" w:pos="1114"/>
              </w:tabs>
              <w:spacing w:after="0"/>
              <w:ind w:left="0" w:hanging="2"/>
              <w:rPr>
                <w:rFonts w:ascii="Times New Roman" w:eastAsia="Times New Roman" w:hAnsi="Times New Roman" w:cs="Times New Roman"/>
              </w:rPr>
            </w:pPr>
          </w:p>
          <w:p w:rsidR="00A53213" w:rsidRDefault="00CC3355">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Nasledujúce stretnutie bude prebiehať 26.11.2020 a budeme sa venovať spätnému pohľadu na našu prácu. </w:t>
            </w:r>
          </w:p>
          <w:p w:rsidR="00A53213" w:rsidRDefault="00A53213">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p w:rsidR="00A53213" w:rsidRDefault="00A53213">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tc>
      </w:tr>
      <w:tr w:rsidR="00A53213">
        <w:trPr>
          <w:trHeight w:val="2434"/>
        </w:trPr>
        <w:tc>
          <w:tcPr>
            <w:tcW w:w="9266" w:type="dxa"/>
          </w:tcPr>
          <w:p w:rsidR="00A53213" w:rsidRDefault="00CC3355">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Závery a odporúčania:</w:t>
            </w:r>
          </w:p>
          <w:p w:rsidR="00A53213" w:rsidRDefault="00CC3355" w:rsidP="00CC3355">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rPr>
              <w:t xml:space="preserve">Spoločne sme si vytvorili obraz prínosu kooperatívneho vyučovania v rámci oblasti rozvíjania sociálnych vzťahov medzi žiakmi a prosociálneho správania. </w:t>
            </w:r>
          </w:p>
        </w:tc>
      </w:tr>
    </w:tbl>
    <w:p w:rsidR="00A53213" w:rsidRDefault="00CC3355">
      <w:pPr>
        <w:pBdr>
          <w:top w:val="nil"/>
          <w:left w:val="nil"/>
          <w:bottom w:val="nil"/>
          <w:right w:val="nil"/>
          <w:between w:val="nil"/>
        </w:pBdr>
        <w:tabs>
          <w:tab w:val="left" w:pos="1114"/>
        </w:tabs>
        <w:ind w:left="0" w:hanging="2"/>
        <w:rPr>
          <w:color w:val="000000"/>
        </w:rPr>
      </w:pPr>
      <w:r>
        <w:rPr>
          <w:color w:val="000000"/>
        </w:rPr>
        <w:tab/>
      </w:r>
    </w:p>
    <w:tbl>
      <w:tblPr>
        <w:tblStyle w:val="afe"/>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135"/>
      </w:tblGrid>
      <w:tr w:rsidR="00A53213">
        <w:tc>
          <w:tcPr>
            <w:tcW w:w="4077" w:type="dxa"/>
          </w:tcPr>
          <w:p w:rsidR="00A53213" w:rsidRDefault="00CC3355">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rsidR="00A53213" w:rsidRDefault="00CC3355">
            <w:pPr>
              <w:pBdr>
                <w:top w:val="nil"/>
                <w:left w:val="nil"/>
                <w:bottom w:val="nil"/>
                <w:right w:val="nil"/>
                <w:between w:val="nil"/>
              </w:pBdr>
              <w:tabs>
                <w:tab w:val="left" w:pos="1114"/>
              </w:tabs>
              <w:spacing w:after="0" w:line="240" w:lineRule="auto"/>
              <w:ind w:left="0" w:hanging="2"/>
              <w:rPr>
                <w:color w:val="000000"/>
              </w:rPr>
            </w:pPr>
            <w:r>
              <w:rPr>
                <w:color w:val="000000"/>
              </w:rPr>
              <w:t>Zuzana Kundláková</w:t>
            </w:r>
          </w:p>
        </w:tc>
      </w:tr>
      <w:tr w:rsidR="00A53213">
        <w:tc>
          <w:tcPr>
            <w:tcW w:w="4077" w:type="dxa"/>
          </w:tcPr>
          <w:p w:rsidR="00A53213" w:rsidRDefault="00CC3355">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A53213" w:rsidRDefault="00CC3355">
            <w:pPr>
              <w:pBdr>
                <w:top w:val="nil"/>
                <w:left w:val="nil"/>
                <w:bottom w:val="nil"/>
                <w:right w:val="nil"/>
                <w:between w:val="nil"/>
              </w:pBdr>
              <w:tabs>
                <w:tab w:val="left" w:pos="1114"/>
              </w:tabs>
              <w:spacing w:after="0" w:line="240" w:lineRule="auto"/>
              <w:ind w:left="0" w:hanging="2"/>
              <w:rPr>
                <w:color w:val="000000"/>
              </w:rPr>
            </w:pPr>
            <w:r>
              <w:t>13.11.2020</w:t>
            </w:r>
          </w:p>
        </w:tc>
      </w:tr>
      <w:tr w:rsidR="00A53213">
        <w:tc>
          <w:tcPr>
            <w:tcW w:w="4077" w:type="dxa"/>
          </w:tcPr>
          <w:p w:rsidR="00A53213" w:rsidRDefault="00CC3355">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A53213" w:rsidRDefault="00A53213">
            <w:pPr>
              <w:pBdr>
                <w:top w:val="nil"/>
                <w:left w:val="nil"/>
                <w:bottom w:val="nil"/>
                <w:right w:val="nil"/>
                <w:between w:val="nil"/>
              </w:pBdr>
              <w:tabs>
                <w:tab w:val="left" w:pos="1114"/>
              </w:tabs>
              <w:spacing w:after="0" w:line="240" w:lineRule="auto"/>
              <w:ind w:left="0" w:hanging="2"/>
              <w:rPr>
                <w:color w:val="000000"/>
              </w:rPr>
            </w:pPr>
          </w:p>
        </w:tc>
      </w:tr>
      <w:tr w:rsidR="00A53213">
        <w:tc>
          <w:tcPr>
            <w:tcW w:w="4077" w:type="dxa"/>
          </w:tcPr>
          <w:p w:rsidR="00A53213" w:rsidRDefault="00CC3355">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rsidR="00A53213" w:rsidRDefault="00CC3355">
            <w:pPr>
              <w:pBdr>
                <w:top w:val="nil"/>
                <w:left w:val="nil"/>
                <w:bottom w:val="nil"/>
                <w:right w:val="nil"/>
                <w:between w:val="nil"/>
              </w:pBdr>
              <w:tabs>
                <w:tab w:val="left" w:pos="1114"/>
              </w:tabs>
              <w:spacing w:after="0" w:line="240" w:lineRule="auto"/>
              <w:ind w:left="0" w:hanging="2"/>
              <w:rPr>
                <w:color w:val="000000"/>
              </w:rPr>
            </w:pPr>
            <w:r>
              <w:rPr>
                <w:color w:val="000000"/>
              </w:rPr>
              <w:t>PaedDr. Slávka Šebová</w:t>
            </w:r>
          </w:p>
        </w:tc>
      </w:tr>
      <w:tr w:rsidR="00A53213">
        <w:tc>
          <w:tcPr>
            <w:tcW w:w="4077" w:type="dxa"/>
          </w:tcPr>
          <w:p w:rsidR="00A53213" w:rsidRDefault="00CC3355">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A53213" w:rsidRDefault="00CC3355">
            <w:pPr>
              <w:pBdr>
                <w:top w:val="nil"/>
                <w:left w:val="nil"/>
                <w:bottom w:val="nil"/>
                <w:right w:val="nil"/>
                <w:between w:val="nil"/>
              </w:pBdr>
              <w:tabs>
                <w:tab w:val="left" w:pos="1114"/>
              </w:tabs>
              <w:spacing w:after="0" w:line="240" w:lineRule="auto"/>
              <w:ind w:left="0" w:hanging="2"/>
              <w:rPr>
                <w:color w:val="000000"/>
              </w:rPr>
            </w:pPr>
            <w:r>
              <w:t>13.11.2020</w:t>
            </w:r>
          </w:p>
        </w:tc>
      </w:tr>
      <w:tr w:rsidR="00A53213">
        <w:tc>
          <w:tcPr>
            <w:tcW w:w="4077" w:type="dxa"/>
          </w:tcPr>
          <w:p w:rsidR="00A53213" w:rsidRDefault="00CC3355">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A53213" w:rsidRDefault="00A53213">
            <w:pPr>
              <w:pBdr>
                <w:top w:val="nil"/>
                <w:left w:val="nil"/>
                <w:bottom w:val="nil"/>
                <w:right w:val="nil"/>
                <w:between w:val="nil"/>
              </w:pBdr>
              <w:tabs>
                <w:tab w:val="left" w:pos="1114"/>
              </w:tabs>
              <w:spacing w:after="0" w:line="240" w:lineRule="auto"/>
              <w:ind w:left="0" w:hanging="2"/>
              <w:rPr>
                <w:color w:val="000000"/>
              </w:rPr>
            </w:pPr>
          </w:p>
        </w:tc>
      </w:tr>
    </w:tbl>
    <w:p w:rsidR="00A53213" w:rsidRDefault="00A53213">
      <w:pPr>
        <w:pBdr>
          <w:top w:val="nil"/>
          <w:left w:val="nil"/>
          <w:bottom w:val="nil"/>
          <w:right w:val="nil"/>
          <w:between w:val="nil"/>
        </w:pBdr>
        <w:tabs>
          <w:tab w:val="left" w:pos="1114"/>
        </w:tabs>
        <w:ind w:left="0" w:hanging="2"/>
        <w:rPr>
          <w:color w:val="000000"/>
        </w:rPr>
      </w:pPr>
    </w:p>
    <w:p w:rsidR="00A53213" w:rsidRDefault="00A53213">
      <w:pPr>
        <w:pBdr>
          <w:top w:val="nil"/>
          <w:left w:val="nil"/>
          <w:bottom w:val="nil"/>
          <w:right w:val="nil"/>
          <w:between w:val="nil"/>
        </w:pBdr>
        <w:tabs>
          <w:tab w:val="left" w:pos="1114"/>
        </w:tabs>
        <w:ind w:left="0" w:hanging="2"/>
        <w:rPr>
          <w:color w:val="000000"/>
        </w:rPr>
      </w:pPr>
    </w:p>
    <w:p w:rsidR="00A53213" w:rsidRDefault="00A53213">
      <w:pPr>
        <w:pBdr>
          <w:top w:val="nil"/>
          <w:left w:val="nil"/>
          <w:bottom w:val="nil"/>
          <w:right w:val="nil"/>
          <w:between w:val="nil"/>
        </w:pBdr>
        <w:tabs>
          <w:tab w:val="left" w:pos="1114"/>
        </w:tabs>
        <w:ind w:left="0" w:hanging="2"/>
        <w:rPr>
          <w:color w:val="000000"/>
        </w:rPr>
      </w:pPr>
    </w:p>
    <w:p w:rsidR="00A53213" w:rsidRDefault="00CC3355">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Príloha:</w:t>
      </w:r>
    </w:p>
    <w:p w:rsidR="00A53213" w:rsidRDefault="00CC3355">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Prezenčná listina zo stretnutia pedagogického klubu</w:t>
      </w:r>
    </w:p>
    <w:p w:rsidR="00A53213" w:rsidRDefault="00CC3355">
      <w:pPr>
        <w:pBdr>
          <w:top w:val="nil"/>
          <w:left w:val="nil"/>
          <w:bottom w:val="nil"/>
          <w:right w:val="nil"/>
          <w:between w:val="nil"/>
        </w:pBdr>
        <w:ind w:left="0" w:hanging="2"/>
        <w:rPr>
          <w:color w:val="000000"/>
        </w:rPr>
      </w:pPr>
      <w:r>
        <w:rPr>
          <w:rFonts w:ascii="Times New Roman" w:eastAsia="Times New Roman" w:hAnsi="Times New Roman" w:cs="Times New Roman"/>
          <w:color w:val="000000"/>
        </w:rPr>
        <w:t xml:space="preserve">Príloha správy o činnosti pedagogického klubu              </w:t>
      </w:r>
      <w:r>
        <w:rPr>
          <w:color w:val="000000"/>
        </w:rPr>
        <w:t xml:space="preserve">                                                                               </w:t>
      </w:r>
      <w:r>
        <w:rPr>
          <w:noProof/>
          <w:color w:val="000000"/>
          <w:lang w:eastAsia="sk-SK"/>
        </w:rPr>
        <w:drawing>
          <wp:inline distT="0" distB="0" distL="114300" distR="114300">
            <wp:extent cx="5756275" cy="802640"/>
            <wp:effectExtent l="0" t="0" r="0" b="0"/>
            <wp:docPr id="10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6275" cy="802640"/>
                    </a:xfrm>
                    <a:prstGeom prst="rect">
                      <a:avLst/>
                    </a:prstGeom>
                    <a:ln/>
                  </pic:spPr>
                </pic:pic>
              </a:graphicData>
            </a:graphic>
          </wp:inline>
        </w:drawing>
      </w:r>
    </w:p>
    <w:tbl>
      <w:tblPr>
        <w:tblStyle w:val="aff"/>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40"/>
      </w:tblGrid>
      <w:tr w:rsidR="00A53213">
        <w:tc>
          <w:tcPr>
            <w:tcW w:w="3528"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Prioritná os:</w:t>
            </w:r>
          </w:p>
        </w:tc>
        <w:tc>
          <w:tcPr>
            <w:tcW w:w="5940"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Vzdelávanie</w:t>
            </w:r>
          </w:p>
        </w:tc>
      </w:tr>
      <w:tr w:rsidR="00A53213">
        <w:tc>
          <w:tcPr>
            <w:tcW w:w="3528"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Špecifický cieľ:</w:t>
            </w:r>
          </w:p>
        </w:tc>
        <w:tc>
          <w:tcPr>
            <w:tcW w:w="5940"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 Zvýšiť inkluzívnosť a rovnaký prístup ku kvalitnému vzdelávaniu a zlepšiť výsledky a kompetencie detí a žiakov</w:t>
            </w:r>
          </w:p>
        </w:tc>
      </w:tr>
      <w:tr w:rsidR="00A53213">
        <w:tc>
          <w:tcPr>
            <w:tcW w:w="3528"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Prijímateľ:</w:t>
            </w:r>
          </w:p>
        </w:tc>
        <w:tc>
          <w:tcPr>
            <w:tcW w:w="5940"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Súkromná základná škola waldorfská, Bratislava, Vihorlatská 10, ďalej len SZŠW</w:t>
            </w:r>
          </w:p>
        </w:tc>
      </w:tr>
      <w:tr w:rsidR="00A53213">
        <w:tc>
          <w:tcPr>
            <w:tcW w:w="3528"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projektu:</w:t>
            </w:r>
          </w:p>
        </w:tc>
        <w:tc>
          <w:tcPr>
            <w:tcW w:w="5940"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Inkluzívna škola ako  učiaca sa organizácia</w:t>
            </w:r>
          </w:p>
        </w:tc>
      </w:tr>
      <w:tr w:rsidR="00A53213">
        <w:tc>
          <w:tcPr>
            <w:tcW w:w="3528"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Kód ITMS projektu:</w:t>
            </w:r>
          </w:p>
        </w:tc>
        <w:tc>
          <w:tcPr>
            <w:tcW w:w="5940"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312011R551</w:t>
            </w:r>
          </w:p>
        </w:tc>
      </w:tr>
      <w:tr w:rsidR="00A53213">
        <w:tc>
          <w:tcPr>
            <w:tcW w:w="3528"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pedagogického klubu:</w:t>
            </w:r>
          </w:p>
        </w:tc>
        <w:tc>
          <w:tcPr>
            <w:tcW w:w="5940"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sz w:val="24"/>
                <w:szCs w:val="24"/>
              </w:rPr>
            </w:pPr>
            <w:r>
              <w:rPr>
                <w:b/>
                <w:color w:val="000000"/>
              </w:rPr>
              <w:t>Klub učiteľov bádateľskej  matematiky v pohybe a ekonomickej matematiky</w:t>
            </w:r>
          </w:p>
        </w:tc>
      </w:tr>
    </w:tbl>
    <w:p w:rsidR="00A53213" w:rsidRDefault="00CC3355">
      <w:pPr>
        <w:keepNext/>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24"/>
          <w:szCs w:val="24"/>
        </w:rPr>
        <w:t>PREZENČNÁ LISTINA</w:t>
      </w:r>
    </w:p>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konania stretnutia: SZŠW, Vihorlatská 10, Bratislava,</w:t>
      </w:r>
    </w:p>
    <w:p w:rsidR="00A53213" w:rsidRDefault="00CC3355">
      <w:pPr>
        <w:pBdr>
          <w:top w:val="nil"/>
          <w:left w:val="nil"/>
          <w:bottom w:val="nil"/>
          <w:right w:val="nil"/>
          <w:between w:val="nil"/>
        </w:pBdr>
        <w:ind w:left="0" w:hanging="2"/>
        <w:rPr>
          <w:color w:val="000000"/>
        </w:rPr>
      </w:pPr>
      <w:r>
        <w:rPr>
          <w:rFonts w:ascii="Times New Roman" w:eastAsia="Times New Roman" w:hAnsi="Times New Roman" w:cs="Times New Roman"/>
          <w:color w:val="000000"/>
        </w:rPr>
        <w:t xml:space="preserve">Dátum konania stretnutia: </w:t>
      </w:r>
      <w:r>
        <w:rPr>
          <w:rFonts w:ascii="Times New Roman" w:eastAsia="Times New Roman" w:hAnsi="Times New Roman" w:cs="Times New Roman"/>
        </w:rPr>
        <w:t>12.11</w:t>
      </w:r>
      <w:r>
        <w:rPr>
          <w:rFonts w:ascii="Times New Roman" w:eastAsia="Times New Roman" w:hAnsi="Times New Roman" w:cs="Times New Roman"/>
          <w:color w:val="000000"/>
        </w:rPr>
        <w:t>.2020</w:t>
      </w:r>
    </w:p>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Trvanie stretnutia: od 15.00 hod </w:t>
      </w:r>
      <w:r>
        <w:rPr>
          <w:rFonts w:ascii="Times New Roman" w:eastAsia="Times New Roman" w:hAnsi="Times New Roman" w:cs="Times New Roman"/>
          <w:color w:val="000000"/>
        </w:rPr>
        <w:tab/>
        <w:t>do 18. 00 hod.</w:t>
      </w:r>
    </w:p>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Zoznam účastníkov/členov pedagogického klubu:</w:t>
      </w:r>
    </w:p>
    <w:tbl>
      <w:tblPr>
        <w:tblStyle w:val="aff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3935"/>
        <w:gridCol w:w="2427"/>
        <w:gridCol w:w="2306"/>
      </w:tblGrid>
      <w:tr w:rsidR="00A53213">
        <w:trPr>
          <w:trHeight w:val="337"/>
        </w:trPr>
        <w:tc>
          <w:tcPr>
            <w:tcW w:w="544"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3935"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2427"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2306"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A53213">
        <w:trPr>
          <w:trHeight w:val="337"/>
        </w:trPr>
        <w:tc>
          <w:tcPr>
            <w:tcW w:w="544"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935"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Michal Klučka</w:t>
            </w:r>
          </w:p>
        </w:tc>
        <w:tc>
          <w:tcPr>
            <w:tcW w:w="2427"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53213">
        <w:trPr>
          <w:trHeight w:val="337"/>
        </w:trPr>
        <w:tc>
          <w:tcPr>
            <w:tcW w:w="544"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35"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Peter Polák</w:t>
            </w:r>
          </w:p>
        </w:tc>
        <w:tc>
          <w:tcPr>
            <w:tcW w:w="2427"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53213">
        <w:trPr>
          <w:trHeight w:val="337"/>
        </w:trPr>
        <w:tc>
          <w:tcPr>
            <w:tcW w:w="544"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35"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Denisa Mátrayová</w:t>
            </w:r>
          </w:p>
        </w:tc>
        <w:tc>
          <w:tcPr>
            <w:tcW w:w="2427"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53213">
        <w:trPr>
          <w:trHeight w:val="337"/>
        </w:trPr>
        <w:tc>
          <w:tcPr>
            <w:tcW w:w="544"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935"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Rastislav Čanik</w:t>
            </w:r>
          </w:p>
        </w:tc>
        <w:tc>
          <w:tcPr>
            <w:tcW w:w="2427"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53213">
        <w:trPr>
          <w:trHeight w:val="355"/>
        </w:trPr>
        <w:tc>
          <w:tcPr>
            <w:tcW w:w="544"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935"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Jana Karasová</w:t>
            </w:r>
          </w:p>
        </w:tc>
        <w:tc>
          <w:tcPr>
            <w:tcW w:w="2427"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53213">
        <w:trPr>
          <w:trHeight w:val="355"/>
        </w:trPr>
        <w:tc>
          <w:tcPr>
            <w:tcW w:w="544"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935" w:type="dxa"/>
          </w:tcPr>
          <w:p w:rsidR="00A53213" w:rsidRDefault="00CC3355" w:rsidP="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Zuzana Brezovská</w:t>
            </w:r>
            <w:bookmarkStart w:id="1" w:name="_GoBack"/>
            <w:bookmarkEnd w:id="1"/>
          </w:p>
        </w:tc>
        <w:tc>
          <w:tcPr>
            <w:tcW w:w="2427"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53213">
        <w:trPr>
          <w:trHeight w:val="355"/>
        </w:trPr>
        <w:tc>
          <w:tcPr>
            <w:tcW w:w="544"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935"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Žaneta Hanečáková</w:t>
            </w:r>
          </w:p>
        </w:tc>
        <w:tc>
          <w:tcPr>
            <w:tcW w:w="2427"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53213">
        <w:trPr>
          <w:trHeight w:val="355"/>
        </w:trPr>
        <w:tc>
          <w:tcPr>
            <w:tcW w:w="544"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935"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Alexandra Paršová</w:t>
            </w:r>
          </w:p>
        </w:tc>
        <w:tc>
          <w:tcPr>
            <w:tcW w:w="2427"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53213">
        <w:trPr>
          <w:trHeight w:val="355"/>
        </w:trPr>
        <w:tc>
          <w:tcPr>
            <w:tcW w:w="544" w:type="dxa"/>
            <w:tcBorders>
              <w:top w:val="single" w:sz="4" w:space="0" w:color="000000"/>
              <w:left w:val="single" w:sz="4" w:space="0" w:color="000000"/>
              <w:bottom w:val="single" w:sz="4" w:space="0" w:color="000000"/>
              <w:right w:val="single" w:sz="4" w:space="0" w:color="000000"/>
            </w:tcBorders>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935" w:type="dxa"/>
            <w:tcBorders>
              <w:top w:val="single" w:sz="4" w:space="0" w:color="000000"/>
              <w:left w:val="single" w:sz="4" w:space="0" w:color="000000"/>
              <w:bottom w:val="single" w:sz="4" w:space="0" w:color="000000"/>
              <w:right w:val="single" w:sz="4" w:space="0" w:color="000000"/>
            </w:tcBorders>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Tatiana Maťová</w:t>
            </w:r>
          </w:p>
        </w:tc>
        <w:tc>
          <w:tcPr>
            <w:tcW w:w="2427" w:type="dxa"/>
            <w:tcBorders>
              <w:top w:val="single" w:sz="4" w:space="0" w:color="000000"/>
              <w:left w:val="single" w:sz="4" w:space="0" w:color="000000"/>
              <w:bottom w:val="single" w:sz="4" w:space="0" w:color="000000"/>
              <w:right w:val="single" w:sz="4" w:space="0" w:color="000000"/>
            </w:tcBorders>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Borders>
              <w:top w:val="single" w:sz="4" w:space="0" w:color="000000"/>
              <w:left w:val="single" w:sz="4" w:space="0" w:color="000000"/>
              <w:bottom w:val="single" w:sz="4" w:space="0" w:color="000000"/>
              <w:right w:val="single" w:sz="4" w:space="0" w:color="000000"/>
            </w:tcBorders>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53213">
        <w:trPr>
          <w:trHeight w:val="355"/>
        </w:trPr>
        <w:tc>
          <w:tcPr>
            <w:tcW w:w="544" w:type="dxa"/>
            <w:tcBorders>
              <w:top w:val="single" w:sz="4" w:space="0" w:color="000000"/>
              <w:left w:val="single" w:sz="4" w:space="0" w:color="000000"/>
              <w:bottom w:val="single" w:sz="4" w:space="0" w:color="000000"/>
              <w:right w:val="single" w:sz="4" w:space="0" w:color="000000"/>
            </w:tcBorders>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935" w:type="dxa"/>
            <w:tcBorders>
              <w:top w:val="single" w:sz="4" w:space="0" w:color="000000"/>
              <w:left w:val="single" w:sz="4" w:space="0" w:color="000000"/>
              <w:bottom w:val="single" w:sz="4" w:space="0" w:color="000000"/>
              <w:right w:val="single" w:sz="4" w:space="0" w:color="000000"/>
            </w:tcBorders>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Zuzana Kundláková</w:t>
            </w:r>
          </w:p>
        </w:tc>
        <w:tc>
          <w:tcPr>
            <w:tcW w:w="2427" w:type="dxa"/>
            <w:tcBorders>
              <w:top w:val="single" w:sz="4" w:space="0" w:color="000000"/>
              <w:left w:val="single" w:sz="4" w:space="0" w:color="000000"/>
              <w:bottom w:val="single" w:sz="4" w:space="0" w:color="000000"/>
              <w:right w:val="single" w:sz="4" w:space="0" w:color="000000"/>
            </w:tcBorders>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Borders>
              <w:top w:val="single" w:sz="4" w:space="0" w:color="000000"/>
              <w:left w:val="single" w:sz="4" w:space="0" w:color="000000"/>
              <w:bottom w:val="single" w:sz="4" w:space="0" w:color="000000"/>
              <w:right w:val="single" w:sz="4" w:space="0" w:color="000000"/>
            </w:tcBorders>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bl>
    <w:p w:rsidR="00A53213" w:rsidRDefault="00CC3355">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Meno prizvaných odborníkov/iných účastníkov, ktorí nie sú členmi pedagogického klubu  a podpis/y:</w:t>
      </w:r>
    </w:p>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b/>
      </w:r>
    </w:p>
    <w:tbl>
      <w:tblPr>
        <w:tblStyle w:val="aff1"/>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4680"/>
        <w:gridCol w:w="1726"/>
        <w:gridCol w:w="1985"/>
      </w:tblGrid>
      <w:tr w:rsidR="00A53213">
        <w:trPr>
          <w:trHeight w:val="337"/>
        </w:trPr>
        <w:tc>
          <w:tcPr>
            <w:tcW w:w="610"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4680"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1726"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1985"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A53213">
        <w:trPr>
          <w:trHeight w:val="337"/>
        </w:trPr>
        <w:tc>
          <w:tcPr>
            <w:tcW w:w="610"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680" w:type="dxa"/>
          </w:tcPr>
          <w:p w:rsidR="00A53213" w:rsidRDefault="00A53213">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r>
      <w:tr w:rsidR="00A53213">
        <w:trPr>
          <w:trHeight w:val="337"/>
        </w:trPr>
        <w:tc>
          <w:tcPr>
            <w:tcW w:w="610"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680" w:type="dxa"/>
          </w:tcPr>
          <w:p w:rsidR="00A53213" w:rsidRDefault="00A53213">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r>
      <w:tr w:rsidR="00A53213">
        <w:trPr>
          <w:trHeight w:val="355"/>
        </w:trPr>
        <w:tc>
          <w:tcPr>
            <w:tcW w:w="610" w:type="dxa"/>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680"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r>
      <w:tr w:rsidR="00A53213">
        <w:trPr>
          <w:trHeight w:val="355"/>
        </w:trPr>
        <w:tc>
          <w:tcPr>
            <w:tcW w:w="610" w:type="dxa"/>
            <w:tcBorders>
              <w:top w:val="single" w:sz="4" w:space="0" w:color="000000"/>
              <w:left w:val="single" w:sz="4" w:space="0" w:color="000000"/>
              <w:bottom w:val="single" w:sz="4" w:space="0" w:color="000000"/>
              <w:right w:val="single" w:sz="4" w:space="0" w:color="000000"/>
            </w:tcBorders>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680" w:type="dxa"/>
            <w:tcBorders>
              <w:top w:val="single" w:sz="4" w:space="0" w:color="000000"/>
              <w:left w:val="single" w:sz="4" w:space="0" w:color="000000"/>
              <w:bottom w:val="single" w:sz="4" w:space="0" w:color="000000"/>
              <w:right w:val="single" w:sz="4" w:space="0" w:color="000000"/>
            </w:tcBorders>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Borders>
              <w:top w:val="single" w:sz="4" w:space="0" w:color="000000"/>
              <w:left w:val="single" w:sz="4" w:space="0" w:color="000000"/>
              <w:bottom w:val="single" w:sz="4" w:space="0" w:color="000000"/>
              <w:right w:val="single" w:sz="4" w:space="0" w:color="000000"/>
            </w:tcBorders>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r>
      <w:tr w:rsidR="00A53213">
        <w:trPr>
          <w:trHeight w:val="355"/>
        </w:trPr>
        <w:tc>
          <w:tcPr>
            <w:tcW w:w="610" w:type="dxa"/>
            <w:tcBorders>
              <w:top w:val="single" w:sz="4" w:space="0" w:color="000000"/>
              <w:left w:val="single" w:sz="4" w:space="0" w:color="000000"/>
              <w:bottom w:val="single" w:sz="4" w:space="0" w:color="000000"/>
              <w:right w:val="single" w:sz="4" w:space="0" w:color="000000"/>
            </w:tcBorders>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680" w:type="dxa"/>
            <w:tcBorders>
              <w:top w:val="single" w:sz="4" w:space="0" w:color="000000"/>
              <w:left w:val="single" w:sz="4" w:space="0" w:color="000000"/>
              <w:bottom w:val="single" w:sz="4" w:space="0" w:color="000000"/>
              <w:right w:val="single" w:sz="4" w:space="0" w:color="000000"/>
            </w:tcBorders>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Borders>
              <w:top w:val="single" w:sz="4" w:space="0" w:color="000000"/>
              <w:left w:val="single" w:sz="4" w:space="0" w:color="000000"/>
              <w:bottom w:val="single" w:sz="4" w:space="0" w:color="000000"/>
              <w:right w:val="single" w:sz="4" w:space="0" w:color="000000"/>
            </w:tcBorders>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r>
      <w:tr w:rsidR="00A53213">
        <w:trPr>
          <w:trHeight w:val="355"/>
        </w:trPr>
        <w:tc>
          <w:tcPr>
            <w:tcW w:w="610" w:type="dxa"/>
            <w:tcBorders>
              <w:top w:val="single" w:sz="4" w:space="0" w:color="000000"/>
              <w:left w:val="single" w:sz="4" w:space="0" w:color="000000"/>
              <w:bottom w:val="single" w:sz="4" w:space="0" w:color="000000"/>
              <w:right w:val="single" w:sz="4" w:space="0" w:color="000000"/>
            </w:tcBorders>
          </w:tcPr>
          <w:p w:rsidR="00A53213" w:rsidRDefault="00CC3355">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680" w:type="dxa"/>
            <w:tcBorders>
              <w:top w:val="single" w:sz="4" w:space="0" w:color="000000"/>
              <w:left w:val="single" w:sz="4" w:space="0" w:color="000000"/>
              <w:bottom w:val="single" w:sz="4" w:space="0" w:color="000000"/>
              <w:right w:val="single" w:sz="4" w:space="0" w:color="000000"/>
            </w:tcBorders>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Borders>
              <w:top w:val="single" w:sz="4" w:space="0" w:color="000000"/>
              <w:left w:val="single" w:sz="4" w:space="0" w:color="000000"/>
              <w:bottom w:val="single" w:sz="4" w:space="0" w:color="000000"/>
              <w:right w:val="single" w:sz="4" w:space="0" w:color="000000"/>
            </w:tcBorders>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tc>
      </w:tr>
    </w:tbl>
    <w:p w:rsidR="00A53213" w:rsidRDefault="00A53213">
      <w:pPr>
        <w:pBdr>
          <w:top w:val="nil"/>
          <w:left w:val="nil"/>
          <w:bottom w:val="nil"/>
          <w:right w:val="nil"/>
          <w:between w:val="nil"/>
        </w:pBdr>
        <w:ind w:left="0" w:hanging="2"/>
        <w:rPr>
          <w:rFonts w:ascii="Times New Roman" w:eastAsia="Times New Roman" w:hAnsi="Times New Roman" w:cs="Times New Roman"/>
          <w:color w:val="000000"/>
        </w:rPr>
      </w:pPr>
    </w:p>
    <w:sectPr w:rsidR="00A5321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1A62"/>
    <w:multiLevelType w:val="multilevel"/>
    <w:tmpl w:val="A1469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23205C"/>
    <w:multiLevelType w:val="multilevel"/>
    <w:tmpl w:val="55367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2923D19"/>
    <w:multiLevelType w:val="multilevel"/>
    <w:tmpl w:val="55EEEA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hyphenationZone w:val="425"/>
  <w:characterSpacingControl w:val="doNotCompress"/>
  <w:compat>
    <w:compatSetting w:name="compatibilityMode" w:uri="http://schemas.microsoft.com/office/word" w:val="14"/>
  </w:compat>
  <w:rsids>
    <w:rsidRoot w:val="00A53213"/>
    <w:rsid w:val="00A53213"/>
    <w:rsid w:val="00CC33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ind w:leftChars="-1" w:left="-1" w:hangingChars="1"/>
      <w:textDirection w:val="btLr"/>
      <w:textAlignment w:val="top"/>
      <w:outlineLvl w:val="0"/>
    </w:pPr>
    <w:rPr>
      <w:position w:val="-1"/>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qFormat/>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character" w:customStyle="1" w:styleId="Nadpis2Char">
    <w:name w:val="Nadpis 2 Ch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table" w:customStyle="1" w:styleId="af">
    <w:basedOn w:val="TableNormal3"/>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70" w:type="dxa"/>
        <w:right w:w="70" w:type="dxa"/>
      </w:tblCellMar>
    </w:tblPr>
  </w:style>
  <w:style w:type="table" w:customStyle="1" w:styleId="af1">
    <w:basedOn w:val="TableNormal3"/>
    <w:tblPr>
      <w:tblStyleRowBandSize w:val="1"/>
      <w:tblStyleColBandSize w:val="1"/>
      <w:tblCellMar>
        <w:left w:w="70" w:type="dxa"/>
        <w:right w:w="70" w:type="dxa"/>
      </w:tblCellMar>
    </w:tblPr>
  </w:style>
  <w:style w:type="table" w:customStyle="1" w:styleId="af2">
    <w:basedOn w:val="TableNormal3"/>
    <w:tblPr>
      <w:tblStyleRowBandSize w:val="1"/>
      <w:tblStyleColBandSize w:val="1"/>
      <w:tblCellMar>
        <w:left w:w="70" w:type="dxa"/>
        <w:right w:w="70" w:type="dxa"/>
      </w:tblCellMar>
    </w:tblPr>
  </w:style>
  <w:style w:type="table" w:customStyle="1" w:styleId="af3">
    <w:basedOn w:val="TableNormal3"/>
    <w:tblPr>
      <w:tblStyleRowBandSize w:val="1"/>
      <w:tblStyleColBandSize w:val="1"/>
      <w:tblCellMar>
        <w:left w:w="70" w:type="dxa"/>
        <w:right w:w="70" w:type="dxa"/>
      </w:tblCellMar>
    </w:tblPr>
  </w:style>
  <w:style w:type="table" w:customStyle="1" w:styleId="af4">
    <w:basedOn w:val="TableNormal3"/>
    <w:tblPr>
      <w:tblStyleRowBandSize w:val="1"/>
      <w:tblStyleColBandSize w:val="1"/>
      <w:tblCellMar>
        <w:left w:w="70" w:type="dxa"/>
        <w:right w:w="70" w:type="dxa"/>
      </w:tblCellMar>
    </w:tblPr>
  </w:style>
  <w:style w:type="table" w:customStyle="1" w:styleId="af5">
    <w:basedOn w:val="TableNormal3"/>
    <w:tblPr>
      <w:tblStyleRowBandSize w:val="1"/>
      <w:tblStyleColBandSize w:val="1"/>
      <w:tblCellMar>
        <w:left w:w="70" w:type="dxa"/>
        <w:right w:w="70" w:type="dxa"/>
      </w:tblCellMar>
    </w:tblPr>
  </w:style>
  <w:style w:type="table" w:customStyle="1" w:styleId="af6">
    <w:basedOn w:val="TableNormal3"/>
    <w:tblPr>
      <w:tblStyleRowBandSize w:val="1"/>
      <w:tblStyleColBandSize w:val="1"/>
      <w:tblCellMar>
        <w:left w:w="70" w:type="dxa"/>
        <w:right w:w="70" w:type="dxa"/>
      </w:tblCellMar>
    </w:tblPr>
  </w:style>
  <w:style w:type="table" w:customStyle="1" w:styleId="af7">
    <w:basedOn w:val="TableNormal3"/>
    <w:tblPr>
      <w:tblStyleRowBandSize w:val="1"/>
      <w:tblStyleColBandSize w:val="1"/>
      <w:tblCellMar>
        <w:left w:w="70" w:type="dxa"/>
        <w:right w:w="70" w:type="dxa"/>
      </w:tblCellMar>
    </w:tblPr>
  </w:style>
  <w:style w:type="table" w:customStyle="1" w:styleId="af8">
    <w:basedOn w:val="TableNormal3"/>
    <w:tblPr>
      <w:tblStyleRowBandSize w:val="1"/>
      <w:tblStyleColBandSize w:val="1"/>
      <w:tblCellMar>
        <w:left w:w="70" w:type="dxa"/>
        <w:right w:w="70" w:type="dxa"/>
      </w:tblCellMar>
    </w:tblPr>
  </w:style>
  <w:style w:type="table" w:customStyle="1" w:styleId="af9">
    <w:basedOn w:val="TableNormal3"/>
    <w:tblPr>
      <w:tblStyleRowBandSize w:val="1"/>
      <w:tblStyleColBandSize w:val="1"/>
      <w:tblCellMar>
        <w:left w:w="70" w:type="dxa"/>
        <w:right w:w="70" w:type="dxa"/>
      </w:tblCellMar>
    </w:tblPr>
  </w:style>
  <w:style w:type="table" w:customStyle="1" w:styleId="afa">
    <w:basedOn w:val="TableNormal3"/>
    <w:tblPr>
      <w:tblStyleRowBandSize w:val="1"/>
      <w:tblStyleColBandSize w:val="1"/>
      <w:tblCellMar>
        <w:left w:w="70" w:type="dxa"/>
        <w:right w:w="70" w:type="dxa"/>
      </w:tblCellMar>
    </w:tblPr>
  </w:style>
  <w:style w:type="paragraph" w:styleId="Normlnywebov">
    <w:name w:val="Normal (Web)"/>
    <w:basedOn w:val="Normlny"/>
    <w:uiPriority w:val="99"/>
    <w:semiHidden/>
    <w:unhideWhenUsed/>
    <w:rsid w:val="00FA272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sk-SK"/>
    </w:rPr>
  </w:style>
  <w:style w:type="character" w:styleId="Siln">
    <w:name w:val="Strong"/>
    <w:uiPriority w:val="22"/>
    <w:qFormat/>
    <w:rsid w:val="00FA272E"/>
    <w:rPr>
      <w:b/>
      <w:bCs/>
    </w:r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ind w:leftChars="-1" w:left="-1" w:hangingChars="1"/>
      <w:textDirection w:val="btLr"/>
      <w:textAlignment w:val="top"/>
      <w:outlineLvl w:val="0"/>
    </w:pPr>
    <w:rPr>
      <w:position w:val="-1"/>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qFormat/>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character" w:customStyle="1" w:styleId="Nadpis2Char">
    <w:name w:val="Nadpis 2 Ch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table" w:customStyle="1" w:styleId="af">
    <w:basedOn w:val="TableNormal3"/>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70" w:type="dxa"/>
        <w:right w:w="70" w:type="dxa"/>
      </w:tblCellMar>
    </w:tblPr>
  </w:style>
  <w:style w:type="table" w:customStyle="1" w:styleId="af1">
    <w:basedOn w:val="TableNormal3"/>
    <w:tblPr>
      <w:tblStyleRowBandSize w:val="1"/>
      <w:tblStyleColBandSize w:val="1"/>
      <w:tblCellMar>
        <w:left w:w="70" w:type="dxa"/>
        <w:right w:w="70" w:type="dxa"/>
      </w:tblCellMar>
    </w:tblPr>
  </w:style>
  <w:style w:type="table" w:customStyle="1" w:styleId="af2">
    <w:basedOn w:val="TableNormal3"/>
    <w:tblPr>
      <w:tblStyleRowBandSize w:val="1"/>
      <w:tblStyleColBandSize w:val="1"/>
      <w:tblCellMar>
        <w:left w:w="70" w:type="dxa"/>
        <w:right w:w="70" w:type="dxa"/>
      </w:tblCellMar>
    </w:tblPr>
  </w:style>
  <w:style w:type="table" w:customStyle="1" w:styleId="af3">
    <w:basedOn w:val="TableNormal3"/>
    <w:tblPr>
      <w:tblStyleRowBandSize w:val="1"/>
      <w:tblStyleColBandSize w:val="1"/>
      <w:tblCellMar>
        <w:left w:w="70" w:type="dxa"/>
        <w:right w:w="70" w:type="dxa"/>
      </w:tblCellMar>
    </w:tblPr>
  </w:style>
  <w:style w:type="table" w:customStyle="1" w:styleId="af4">
    <w:basedOn w:val="TableNormal3"/>
    <w:tblPr>
      <w:tblStyleRowBandSize w:val="1"/>
      <w:tblStyleColBandSize w:val="1"/>
      <w:tblCellMar>
        <w:left w:w="70" w:type="dxa"/>
        <w:right w:w="70" w:type="dxa"/>
      </w:tblCellMar>
    </w:tblPr>
  </w:style>
  <w:style w:type="table" w:customStyle="1" w:styleId="af5">
    <w:basedOn w:val="TableNormal3"/>
    <w:tblPr>
      <w:tblStyleRowBandSize w:val="1"/>
      <w:tblStyleColBandSize w:val="1"/>
      <w:tblCellMar>
        <w:left w:w="70" w:type="dxa"/>
        <w:right w:w="70" w:type="dxa"/>
      </w:tblCellMar>
    </w:tblPr>
  </w:style>
  <w:style w:type="table" w:customStyle="1" w:styleId="af6">
    <w:basedOn w:val="TableNormal3"/>
    <w:tblPr>
      <w:tblStyleRowBandSize w:val="1"/>
      <w:tblStyleColBandSize w:val="1"/>
      <w:tblCellMar>
        <w:left w:w="70" w:type="dxa"/>
        <w:right w:w="70" w:type="dxa"/>
      </w:tblCellMar>
    </w:tblPr>
  </w:style>
  <w:style w:type="table" w:customStyle="1" w:styleId="af7">
    <w:basedOn w:val="TableNormal3"/>
    <w:tblPr>
      <w:tblStyleRowBandSize w:val="1"/>
      <w:tblStyleColBandSize w:val="1"/>
      <w:tblCellMar>
        <w:left w:w="70" w:type="dxa"/>
        <w:right w:w="70" w:type="dxa"/>
      </w:tblCellMar>
    </w:tblPr>
  </w:style>
  <w:style w:type="table" w:customStyle="1" w:styleId="af8">
    <w:basedOn w:val="TableNormal3"/>
    <w:tblPr>
      <w:tblStyleRowBandSize w:val="1"/>
      <w:tblStyleColBandSize w:val="1"/>
      <w:tblCellMar>
        <w:left w:w="70" w:type="dxa"/>
        <w:right w:w="70" w:type="dxa"/>
      </w:tblCellMar>
    </w:tblPr>
  </w:style>
  <w:style w:type="table" w:customStyle="1" w:styleId="af9">
    <w:basedOn w:val="TableNormal3"/>
    <w:tblPr>
      <w:tblStyleRowBandSize w:val="1"/>
      <w:tblStyleColBandSize w:val="1"/>
      <w:tblCellMar>
        <w:left w:w="70" w:type="dxa"/>
        <w:right w:w="70" w:type="dxa"/>
      </w:tblCellMar>
    </w:tblPr>
  </w:style>
  <w:style w:type="table" w:customStyle="1" w:styleId="afa">
    <w:basedOn w:val="TableNormal3"/>
    <w:tblPr>
      <w:tblStyleRowBandSize w:val="1"/>
      <w:tblStyleColBandSize w:val="1"/>
      <w:tblCellMar>
        <w:left w:w="70" w:type="dxa"/>
        <w:right w:w="70" w:type="dxa"/>
      </w:tblCellMar>
    </w:tblPr>
  </w:style>
  <w:style w:type="paragraph" w:styleId="Normlnywebov">
    <w:name w:val="Normal (Web)"/>
    <w:basedOn w:val="Normlny"/>
    <w:uiPriority w:val="99"/>
    <w:semiHidden/>
    <w:unhideWhenUsed/>
    <w:rsid w:val="00FA272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sk-SK"/>
    </w:rPr>
  </w:style>
  <w:style w:type="character" w:styleId="Siln">
    <w:name w:val="Strong"/>
    <w:uiPriority w:val="22"/>
    <w:qFormat/>
    <w:rsid w:val="00FA272E"/>
    <w:rPr>
      <w:b/>
      <w:bCs/>
    </w:r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tHADDx/xKKxKCL3FETVnVAIQg==">AMUW2mVUTV/k8P7s5088gOMRuI7t/uRBpDWiMQLD9jOwnmo+E2+qEa2CAw5QpBbxuSgzz8MmUOQu6v6+CjVUwNCnM17QTIoAr7RfniLLxi9C7q1aE7HPKUj4ihgtbS4dSNhsb96ETn32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885</Words>
  <Characters>5048</Characters>
  <Application>Microsoft Office Word</Application>
  <DocSecurity>0</DocSecurity>
  <Lines>42</Lines>
  <Paragraphs>11</Paragraphs>
  <ScaleCrop>false</ScaleCrop>
  <Company>Hewlett-Packard Company</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denisa.strunakova</cp:lastModifiedBy>
  <cp:revision>2</cp:revision>
  <dcterms:created xsi:type="dcterms:W3CDTF">2020-09-08T11:48:00Z</dcterms:created>
  <dcterms:modified xsi:type="dcterms:W3CDTF">2020-11-27T10:49:00Z</dcterms:modified>
</cp:coreProperties>
</file>