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1C" w:rsidRDefault="00ED7F2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noProof/>
          <w:color w:val="000000"/>
          <w:lang w:eastAsia="sk-SK"/>
        </w:rPr>
        <w:drawing>
          <wp:inline distT="0" distB="0" distL="114300" distR="114300">
            <wp:extent cx="5755640" cy="721360"/>
            <wp:effectExtent l="0" t="0" r="0" b="0"/>
            <wp:docPr id="104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721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471C" w:rsidRDefault="0033471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471C" w:rsidRDefault="00ED7F21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Správa o činnosti pedagogického klubu </w:t>
      </w:r>
    </w:p>
    <w:tbl>
      <w:tblPr>
        <w:tblStyle w:val="afff7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33471C">
        <w:tc>
          <w:tcPr>
            <w:tcW w:w="4606" w:type="dxa"/>
          </w:tcPr>
          <w:p w:rsidR="0033471C" w:rsidRDefault="00ED7F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Prioritná os</w:t>
            </w:r>
          </w:p>
        </w:tc>
        <w:tc>
          <w:tcPr>
            <w:tcW w:w="4606" w:type="dxa"/>
          </w:tcPr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Vzdelávanie</w:t>
            </w:r>
          </w:p>
        </w:tc>
      </w:tr>
      <w:tr w:rsidR="0033471C">
        <w:tc>
          <w:tcPr>
            <w:tcW w:w="4606" w:type="dxa"/>
          </w:tcPr>
          <w:p w:rsidR="0033471C" w:rsidRDefault="00ED7F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Špecifický cieľ</w:t>
            </w:r>
          </w:p>
        </w:tc>
        <w:tc>
          <w:tcPr>
            <w:tcW w:w="4606" w:type="dxa"/>
          </w:tcPr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1.1.1 Zvýšiť inkluzívnosť a rovnaký prístup ku kvalitnému vzdelávaniu a zlepšiť výsledky a kompetencie detí a žiakov</w:t>
            </w:r>
          </w:p>
        </w:tc>
      </w:tr>
      <w:tr w:rsidR="0033471C">
        <w:tc>
          <w:tcPr>
            <w:tcW w:w="4606" w:type="dxa"/>
          </w:tcPr>
          <w:p w:rsidR="0033471C" w:rsidRDefault="00ED7F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Prijímateľ</w:t>
            </w:r>
          </w:p>
        </w:tc>
        <w:tc>
          <w:tcPr>
            <w:tcW w:w="4606" w:type="dxa"/>
          </w:tcPr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Súkromná základná škola waldorfská</w:t>
            </w:r>
          </w:p>
        </w:tc>
      </w:tr>
      <w:tr w:rsidR="0033471C">
        <w:tc>
          <w:tcPr>
            <w:tcW w:w="4606" w:type="dxa"/>
          </w:tcPr>
          <w:p w:rsidR="0033471C" w:rsidRDefault="00ED7F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Názov projektu</w:t>
            </w:r>
          </w:p>
        </w:tc>
        <w:tc>
          <w:tcPr>
            <w:tcW w:w="4606" w:type="dxa"/>
          </w:tcPr>
          <w:p w:rsidR="0033471C" w:rsidRDefault="00334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Style w:val="afff8"/>
              <w:tblW w:w="438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80"/>
            </w:tblGrid>
            <w:tr w:rsidR="0033471C">
              <w:tc>
                <w:tcPr>
                  <w:tcW w:w="4380" w:type="dxa"/>
                </w:tcPr>
                <w:p w:rsidR="0033471C" w:rsidRDefault="00ED7F2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007"/>
                    </w:tabs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Inkluzívna škola ako učiaca sa organizácia</w:t>
                  </w:r>
                </w:p>
              </w:tc>
            </w:tr>
          </w:tbl>
          <w:p w:rsidR="0033471C" w:rsidRDefault="0033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33471C">
        <w:tc>
          <w:tcPr>
            <w:tcW w:w="4606" w:type="dxa"/>
          </w:tcPr>
          <w:p w:rsidR="0033471C" w:rsidRDefault="00ED7F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Kód projektu  ITMS2014+</w:t>
            </w:r>
          </w:p>
        </w:tc>
        <w:tc>
          <w:tcPr>
            <w:tcW w:w="4606" w:type="dxa"/>
          </w:tcPr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312011R551</w:t>
            </w:r>
          </w:p>
        </w:tc>
      </w:tr>
      <w:tr w:rsidR="0033471C">
        <w:tc>
          <w:tcPr>
            <w:tcW w:w="4606" w:type="dxa"/>
          </w:tcPr>
          <w:p w:rsidR="0033471C" w:rsidRDefault="00ED7F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Názov pedagogického klubu </w:t>
            </w:r>
          </w:p>
        </w:tc>
        <w:tc>
          <w:tcPr>
            <w:tcW w:w="4606" w:type="dxa"/>
          </w:tcPr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Klub učiteľov Kreatívneho čítania a dramatiky</w:t>
            </w:r>
          </w:p>
        </w:tc>
      </w:tr>
      <w:tr w:rsidR="0033471C">
        <w:tc>
          <w:tcPr>
            <w:tcW w:w="4606" w:type="dxa"/>
          </w:tcPr>
          <w:p w:rsidR="0033471C" w:rsidRDefault="00ED7F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 stretnutia  pedagogického klubu</w:t>
            </w:r>
          </w:p>
        </w:tc>
        <w:tc>
          <w:tcPr>
            <w:tcW w:w="4606" w:type="dxa"/>
          </w:tcPr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t>6.5.2021</w:t>
            </w:r>
          </w:p>
        </w:tc>
      </w:tr>
      <w:tr w:rsidR="0033471C">
        <w:tc>
          <w:tcPr>
            <w:tcW w:w="4606" w:type="dxa"/>
          </w:tcPr>
          <w:p w:rsidR="0033471C" w:rsidRDefault="00ED7F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Miesto stretnutia  pedagogického klubu</w:t>
            </w:r>
          </w:p>
        </w:tc>
        <w:tc>
          <w:tcPr>
            <w:tcW w:w="4606" w:type="dxa"/>
          </w:tcPr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SZŠW, Vihorlatská 10, Bratislava</w:t>
            </w:r>
          </w:p>
        </w:tc>
      </w:tr>
      <w:tr w:rsidR="0033471C">
        <w:tc>
          <w:tcPr>
            <w:tcW w:w="4606" w:type="dxa"/>
          </w:tcPr>
          <w:p w:rsidR="0033471C" w:rsidRDefault="00ED7F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Meno koordinátora pedagogického klubu</w:t>
            </w:r>
          </w:p>
        </w:tc>
        <w:tc>
          <w:tcPr>
            <w:tcW w:w="4606" w:type="dxa"/>
          </w:tcPr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Katarína Horecká</w:t>
            </w:r>
          </w:p>
        </w:tc>
      </w:tr>
      <w:tr w:rsidR="0033471C">
        <w:tc>
          <w:tcPr>
            <w:tcW w:w="4606" w:type="dxa"/>
          </w:tcPr>
          <w:p w:rsidR="0033471C" w:rsidRDefault="00ED7F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Odkaz na webové sídlo zverejnenej správy</w:t>
            </w:r>
          </w:p>
        </w:tc>
        <w:tc>
          <w:tcPr>
            <w:tcW w:w="4606" w:type="dxa"/>
          </w:tcPr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http://waldorfskaskola.sk/tema/35/inkluzivna-skola-ako-uciaca-sa-organizacia</w:t>
            </w:r>
          </w:p>
        </w:tc>
      </w:tr>
    </w:tbl>
    <w:p w:rsidR="0033471C" w:rsidRDefault="0033471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f9"/>
        <w:tblW w:w="92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66"/>
      </w:tblGrid>
      <w:tr w:rsidR="0033471C">
        <w:trPr>
          <w:trHeight w:val="1827"/>
        </w:trPr>
        <w:tc>
          <w:tcPr>
            <w:tcW w:w="9266" w:type="dxa"/>
          </w:tcPr>
          <w:p w:rsidR="0033471C" w:rsidRDefault="00ED7F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Manažérske zhrnutie:</w:t>
            </w:r>
          </w:p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krátka anotácia, kľúčové slová </w:t>
            </w:r>
          </w:p>
          <w:p w:rsidR="0033471C" w:rsidRDefault="00ED7F21" w:rsidP="00ED7F21">
            <w:pPr>
              <w:spacing w:before="240"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Ako pomocou projektu divadla dosiahnuť zlepšenia čítania s porozumením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Dramatoterapia - uvažovanie nad textom. Návrhy konkrétnych činností na prácu s textom príbehu, podľa jednotlivých ročníkov a ich té</w:t>
            </w:r>
            <w:r>
              <w:rPr>
                <w:rFonts w:ascii="Times New Roman" w:eastAsia="Times New Roman" w:hAnsi="Times New Roman" w:cs="Times New Roman"/>
              </w:rPr>
              <w:t>m - otázky podporujúce uvažovanie nad textom, uvažovanie nad textom a riadená diskusia, dramatizácia.</w:t>
            </w:r>
          </w:p>
          <w:p w:rsidR="0033471C" w:rsidRDefault="0033471C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33471C" w:rsidRDefault="0033471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33471C">
        <w:trPr>
          <w:trHeight w:val="53"/>
        </w:trPr>
        <w:tc>
          <w:tcPr>
            <w:tcW w:w="9266" w:type="dxa"/>
          </w:tcPr>
          <w:p w:rsidR="0033471C" w:rsidRDefault="00ED7F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Hlavné body, témy stretnutia, zhrnutie priebehu stretnutia: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3471C" w:rsidRDefault="0033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33471C" w:rsidRDefault="0033471C" w:rsidP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33471C" w:rsidRDefault="00ED7F21">
            <w:pPr>
              <w:tabs>
                <w:tab w:val="left" w:pos="1114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1/ úvodné privítanie, naladenie</w:t>
            </w:r>
          </w:p>
          <w:p w:rsidR="0033471C" w:rsidRDefault="00ED7F21">
            <w:pPr>
              <w:tabs>
                <w:tab w:val="left" w:pos="1114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2/ predstavenie programu, zhrnutie práce z minulého stretnutia</w:t>
            </w:r>
          </w:p>
          <w:p w:rsidR="0033471C" w:rsidRDefault="00ED7F21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3/ hlavná téma: </w:t>
            </w:r>
            <w:r>
              <w:rPr>
                <w:rFonts w:ascii="Times New Roman" w:eastAsia="Times New Roman" w:hAnsi="Times New Roman" w:cs="Times New Roman"/>
              </w:rPr>
              <w:t>Dramatoterapia - uvažovanie nad textom.</w:t>
            </w:r>
          </w:p>
          <w:p w:rsidR="0033471C" w:rsidRDefault="00ED7F21">
            <w:pPr>
              <w:tabs>
                <w:tab w:val="left" w:pos="1114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4/ štúdium</w:t>
            </w:r>
          </w:p>
          <w:p w:rsidR="0033471C" w:rsidRDefault="00ED7F21">
            <w:pPr>
              <w:tabs>
                <w:tab w:val="left" w:pos="1114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5/ záver</w:t>
            </w:r>
          </w:p>
          <w:p w:rsidR="0033471C" w:rsidRDefault="0033471C">
            <w:pPr>
              <w:tabs>
                <w:tab w:val="left" w:pos="1114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--------------------------------------------------------------------------------------------------------</w:t>
            </w:r>
          </w:p>
          <w:p w:rsidR="0033471C" w:rsidRDefault="0033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33471C" w:rsidRDefault="0033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Zhrnutie:</w:t>
            </w:r>
          </w:p>
          <w:p w:rsidR="0033471C" w:rsidRDefault="0033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Stretnutie sme začali aktivitou, ktorej cieľom je nadobudnúť schopnosť aktívneho a pasívneho uvoľnenia a vnímanie vlastného ja. Všetci sme pokojne ležali, oči sme mali zatvorené a predstavovali sme si, ako ležíme na pláži, pri mori, piesok hreje náš chrb</w:t>
            </w:r>
            <w:r>
              <w:rPr>
                <w:rFonts w:ascii="Times New Roman" w:eastAsia="Times New Roman" w:hAnsi="Times New Roman" w:cs="Times New Roman"/>
              </w:rPr>
              <w:t>át. Potom sme si predstavovali, ako ležíme pri rieke, slnko páli, tráva chladí náš chrbát, či, že ležíme na vode, ktorá nás nadľahčuje, letíme na čarovnom koberci…</w:t>
            </w:r>
          </w:p>
          <w:p w:rsidR="0033471C" w:rsidRDefault="0033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 tejto úvodnej aktivite, ktorá nás mala vtiahnuť do sústredenosti na schopnosť byť niekym</w:t>
            </w:r>
            <w:r>
              <w:rPr>
                <w:rFonts w:ascii="Times New Roman" w:eastAsia="Times New Roman" w:hAnsi="Times New Roman" w:cs="Times New Roman"/>
              </w:rPr>
              <w:t xml:space="preserve">/niečim iným, sme si zvedomili, o čom je dramatizácia. Hovorili sme si o tom, že je to práca s príbehom, ktorá ak je vykonávaná správne, rozvíja sociálne a morálne kvality žiakov. </w:t>
            </w:r>
          </w:p>
          <w:p w:rsidR="0033471C" w:rsidRDefault="0033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Porozprávali sme sa o tom, ako jednotlivé ročníky podľa tém pracujú s text</w:t>
            </w:r>
            <w:r>
              <w:rPr>
                <w:rFonts w:ascii="Times New Roman" w:eastAsia="Times New Roman" w:hAnsi="Times New Roman" w:cs="Times New Roman"/>
              </w:rPr>
              <w:t>ami, akým spôsobom pristupujú k textom. Zdrojom čoho je. To sa odvíja aj od veku žiakov a ich už nadobudnutých zručností. V nižších ročníkoch je to hlavne o nasávaní príbehov, približovanie prostrednícvom nich žiakom skúsenosti s čítaním a jeho zdokonaľova</w:t>
            </w:r>
            <w:r>
              <w:rPr>
                <w:rFonts w:ascii="Times New Roman" w:eastAsia="Times New Roman" w:hAnsi="Times New Roman" w:cs="Times New Roman"/>
              </w:rPr>
              <w:t>ním. V prvom ročníku žiaci príbehy len nasávajú prostredníctvom počúvania, pri čom majú možnosť si aj kresliť, či modelovať voskom Postupne sa pridáva aj dramatizácia, práca s textami aj v cudzích jazykoch a vyvrcholí to divadelným projektom v ôsmom ročník</w:t>
            </w:r>
            <w:r>
              <w:rPr>
                <w:rFonts w:ascii="Times New Roman" w:eastAsia="Times New Roman" w:hAnsi="Times New Roman" w:cs="Times New Roman"/>
              </w:rPr>
              <w:t xml:space="preserve">u. </w:t>
            </w:r>
          </w:p>
          <w:p w:rsidR="0033471C" w:rsidRDefault="0033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Učitelia, ktorí majú skúsenosti s prácou v ôsmom ročníku, hlbšie zazdieľali svoje pozorovania ôsmakov pri práci na divadelnom projekte. Na žiakov to pôsobí doslova čarovne. Mnohí sa otvoria, ukážu “v maske” postavy v divadle svoje skryté kvalitky, kto</w:t>
            </w:r>
            <w:r>
              <w:rPr>
                <w:rFonts w:ascii="Times New Roman" w:eastAsia="Times New Roman" w:hAnsi="Times New Roman" w:cs="Times New Roman"/>
              </w:rPr>
              <w:t>ré doteraz schovávali v sebe, otvorili sa, niektorí zas ukázali svoje citlivejšie ja, vznikli nové silné putá medzi žiakmi…</w:t>
            </w:r>
          </w:p>
          <w:p w:rsidR="0033471C" w:rsidRDefault="0033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Iná kolegyňa spomínala jej zážitky z vytvárania prvých čítaniek pre jej žiakov ich rodičmi. Akú silu malo na rodičov, ale hlavne na</w:t>
            </w:r>
            <w:r>
              <w:rPr>
                <w:rFonts w:ascii="Times New Roman" w:eastAsia="Times New Roman" w:hAnsi="Times New Roman" w:cs="Times New Roman"/>
              </w:rPr>
              <w:t xml:space="preserve"> žiakov tento moment. Mnohí vďaka tomu nadobudli pozitívnejší vzťah k čítaniu, viac sa začali snažiť. </w:t>
            </w:r>
          </w:p>
          <w:p w:rsidR="0033471C" w:rsidRDefault="0033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Dotkli sme sa aj medzipredmetovej spolupráce, prepojenie príbehovej látky s inými predmetmi. Samozrejmosťou je opora v cudzom jazyku, či ručné práce, či</w:t>
            </w:r>
            <w:r>
              <w:rPr>
                <w:rFonts w:ascii="Times New Roman" w:eastAsia="Times New Roman" w:hAnsi="Times New Roman" w:cs="Times New Roman"/>
              </w:rPr>
              <w:t xml:space="preserve"> výtvarná výchova, ale vo vyšších ročníkoch napr. aj dejepis. To, ako a s kým konkrétnym sa učiteľ rozhodne príbeh prepájať, záleží aj od cieľa, aký chce učiteľ dosiahnuť, ako dlho sa mu chce venovať…</w:t>
            </w:r>
          </w:p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Učitelia sa snažili vytvoriť krátky príbeh pre predmety</w:t>
            </w:r>
            <w:r>
              <w:rPr>
                <w:rFonts w:ascii="Times New Roman" w:eastAsia="Times New Roman" w:hAnsi="Times New Roman" w:cs="Times New Roman"/>
              </w:rPr>
              <w:t xml:space="preserve"> história, geografia a fyzika na tému Mladý sparťan vo vojenskom tábore. </w:t>
            </w:r>
          </w:p>
          <w:p w:rsidR="0033471C" w:rsidRDefault="0033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Stretnutie pohltila téma temperamentov a možnosti, ako vhodne príbeh jednotlivým temperamentom podať. Nasledovala diskusia, ako prerozprávať príbeh ktorému tempetamentu. Dospeli sme</w:t>
            </w:r>
            <w:r>
              <w:rPr>
                <w:rFonts w:ascii="Times New Roman" w:eastAsia="Times New Roman" w:hAnsi="Times New Roman" w:cs="Times New Roman"/>
              </w:rPr>
              <w:t xml:space="preserve"> k hlavnej myšlienke, že dôležité je vypichnúť v texte hlavne časť, ktorá je temperamentu najbližšie. </w:t>
            </w:r>
          </w:p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Následne sme v dvojiciach pracovali s textom, v ktorom sme hľadali časti najvhodnejšie pre jednotlivé temperamenty u žiakov. </w:t>
            </w:r>
          </w:p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Melancholikom sme prisúdili hlavne scény smutné, dramatické zmeny v príbehoch sme priradili k cholerikom, sangvinikov podľa väčšiny vystihujú najviac opisné scény a situácie a flegmatikov sme prirovnali k častiam príbehu, v ktorých je všetko vyrovnané a ni</w:t>
            </w:r>
            <w:r>
              <w:rPr>
                <w:rFonts w:ascii="Times New Roman" w:eastAsia="Times New Roman" w:hAnsi="Times New Roman" w:cs="Times New Roman"/>
              </w:rPr>
              <w:t xml:space="preserve">č výrazné sa nedeje. </w:t>
            </w:r>
          </w:p>
          <w:p w:rsidR="0033471C" w:rsidRDefault="0033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Stretnutie sme opäť ukončili relaxačnou aktivitou, ktorou sme stretnutie aj začali. Tentokrát sme si predstavovali, že sme snehuliak, roztápajúci sa pod jarnými lúčmi, či kvapka vody meniaca sa na obláčik...</w:t>
            </w:r>
          </w:p>
          <w:p w:rsidR="0033471C" w:rsidRDefault="0033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33471C" w:rsidRDefault="0033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33471C" w:rsidRDefault="0033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33471C">
        <w:trPr>
          <w:trHeight w:val="2434"/>
        </w:trPr>
        <w:tc>
          <w:tcPr>
            <w:tcW w:w="9266" w:type="dxa"/>
          </w:tcPr>
          <w:p w:rsidR="0033471C" w:rsidRDefault="00ED7F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Závery a odporúčania:</w:t>
            </w:r>
          </w:p>
          <w:p w:rsidR="0033471C" w:rsidRDefault="00ED7F21" w:rsidP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 xml:space="preserve">Účastníci zdieľali svoje kúsenosti s prácou s textom a jeho dramatizáciou naprieč ročníkmi. </w:t>
            </w:r>
          </w:p>
          <w:p w:rsidR="0033471C" w:rsidRDefault="00ED7F21" w:rsidP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bookmarkStart w:id="1" w:name="_heading=h.dmchl5fzutiu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t xml:space="preserve">Divadelný projekt v ôsmom ročníku - viditeľné zmeny v prejavovaní sa žiakov a zmeny vo vzťahoch medzi žiakmi - má pozitívne vplyvy. </w:t>
            </w:r>
          </w:p>
          <w:p w:rsidR="0033471C" w:rsidRDefault="00ED7F21" w:rsidP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bookmarkStart w:id="2" w:name="_heading=h.v9u682e9crwt" w:colFirst="0" w:colLast="0"/>
            <w:bookmarkEnd w:id="2"/>
            <w:r>
              <w:rPr>
                <w:rFonts w:ascii="Times New Roman" w:eastAsia="Times New Roman" w:hAnsi="Times New Roman" w:cs="Times New Roman"/>
              </w:rPr>
              <w:t xml:space="preserve">Odporúčanie pre kolegov - priblíženie príbehu žiakom podľa ich temperamentu. Cholerik - dramatické zmeny, melancholik - smutné scény, sangvinik - opisné scény, flegmatik - pokojné scény. </w:t>
            </w:r>
          </w:p>
          <w:p w:rsidR="0033471C" w:rsidRDefault="00ED7F21" w:rsidP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bookmarkStart w:id="3" w:name="_heading=h.gtb8at3xd2t6" w:colFirst="0" w:colLast="0"/>
            <w:bookmarkEnd w:id="3"/>
            <w:r>
              <w:rPr>
                <w:rFonts w:ascii="Times New Roman" w:eastAsia="Times New Roman" w:hAnsi="Times New Roman" w:cs="Times New Roman"/>
              </w:rPr>
              <w:t xml:space="preserve">Priblížili a vyskúšali sme si aj relaxačnú techniku. </w:t>
            </w:r>
          </w:p>
          <w:p w:rsidR="0033471C" w:rsidRDefault="0033471C" w:rsidP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bookmarkStart w:id="4" w:name="_heading=h.2wyfu14rgu7i" w:colFirst="0" w:colLast="0"/>
            <w:bookmarkEnd w:id="4"/>
          </w:p>
        </w:tc>
      </w:tr>
    </w:tbl>
    <w:p w:rsidR="0033471C" w:rsidRDefault="00ED7F21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color w:val="000000"/>
        </w:rPr>
      </w:pPr>
      <w:r>
        <w:rPr>
          <w:color w:val="000000"/>
        </w:rPr>
        <w:tab/>
      </w:r>
    </w:p>
    <w:tbl>
      <w:tblPr>
        <w:tblStyle w:val="afff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135"/>
      </w:tblGrid>
      <w:tr w:rsidR="0033471C">
        <w:tc>
          <w:tcPr>
            <w:tcW w:w="4077" w:type="dxa"/>
          </w:tcPr>
          <w:p w:rsidR="0033471C" w:rsidRDefault="00ED7F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Vypracoval (meno, priezvisko)</w:t>
            </w:r>
          </w:p>
        </w:tc>
        <w:tc>
          <w:tcPr>
            <w:tcW w:w="5135" w:type="dxa"/>
          </w:tcPr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Zuzana Kundláková</w:t>
            </w:r>
          </w:p>
        </w:tc>
      </w:tr>
      <w:tr w:rsidR="0033471C">
        <w:tc>
          <w:tcPr>
            <w:tcW w:w="4077" w:type="dxa"/>
          </w:tcPr>
          <w:p w:rsidR="0033471C" w:rsidRDefault="00ED7F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</w:t>
            </w:r>
          </w:p>
        </w:tc>
        <w:tc>
          <w:tcPr>
            <w:tcW w:w="5135" w:type="dxa"/>
          </w:tcPr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t>6.5.2021</w:t>
            </w:r>
          </w:p>
        </w:tc>
      </w:tr>
      <w:tr w:rsidR="0033471C">
        <w:tc>
          <w:tcPr>
            <w:tcW w:w="4077" w:type="dxa"/>
          </w:tcPr>
          <w:p w:rsidR="0033471C" w:rsidRDefault="00ED7F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5135" w:type="dxa"/>
          </w:tcPr>
          <w:p w:rsidR="0033471C" w:rsidRDefault="0033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33471C">
        <w:tc>
          <w:tcPr>
            <w:tcW w:w="4077" w:type="dxa"/>
          </w:tcPr>
          <w:p w:rsidR="0033471C" w:rsidRDefault="00ED7F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Schválil (meno, priezvisko)</w:t>
            </w:r>
          </w:p>
        </w:tc>
        <w:tc>
          <w:tcPr>
            <w:tcW w:w="5135" w:type="dxa"/>
          </w:tcPr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PaedDr. Slávka Šebová</w:t>
            </w:r>
          </w:p>
        </w:tc>
      </w:tr>
      <w:tr w:rsidR="0033471C">
        <w:tc>
          <w:tcPr>
            <w:tcW w:w="4077" w:type="dxa"/>
          </w:tcPr>
          <w:p w:rsidR="0033471C" w:rsidRDefault="00ED7F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</w:t>
            </w:r>
          </w:p>
        </w:tc>
        <w:tc>
          <w:tcPr>
            <w:tcW w:w="5135" w:type="dxa"/>
          </w:tcPr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t>6.5</w:t>
            </w:r>
            <w:r>
              <w:rPr>
                <w:color w:val="000000"/>
              </w:rPr>
              <w:t>.20</w:t>
            </w:r>
            <w:r>
              <w:t>21</w:t>
            </w:r>
          </w:p>
        </w:tc>
      </w:tr>
      <w:tr w:rsidR="0033471C">
        <w:tc>
          <w:tcPr>
            <w:tcW w:w="4077" w:type="dxa"/>
          </w:tcPr>
          <w:p w:rsidR="0033471C" w:rsidRDefault="00ED7F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5135" w:type="dxa"/>
          </w:tcPr>
          <w:p w:rsidR="0033471C" w:rsidRDefault="0033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</w:p>
        </w:tc>
      </w:tr>
    </w:tbl>
    <w:p w:rsidR="0033471C" w:rsidRDefault="0033471C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color w:val="000000"/>
        </w:rPr>
      </w:pPr>
    </w:p>
    <w:p w:rsidR="0033471C" w:rsidRDefault="00ED7F21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Príloha:</w:t>
      </w:r>
    </w:p>
    <w:p w:rsidR="0033471C" w:rsidRDefault="00ED7F21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Prezenčná listina zo stretnutia pedagogického klubu</w:t>
      </w:r>
    </w:p>
    <w:p w:rsidR="0033471C" w:rsidRDefault="0033471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ED7F21" w:rsidRDefault="00ED7F2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ED7F21" w:rsidRDefault="00ED7F2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ED7F21" w:rsidRDefault="00ED7F2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ED7F21" w:rsidRDefault="00ED7F2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ED7F21" w:rsidRDefault="00ED7F2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ED7F21" w:rsidRDefault="00ED7F2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ED7F21" w:rsidRDefault="00ED7F2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ED7F21" w:rsidRDefault="00ED7F2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ED7F21" w:rsidRDefault="00ED7F2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ED7F21" w:rsidRDefault="00ED7F2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ED7F21" w:rsidRDefault="00ED7F2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bookmarkStart w:id="5" w:name="_GoBack"/>
      <w:bookmarkEnd w:id="5"/>
    </w:p>
    <w:p w:rsidR="0033471C" w:rsidRDefault="0033471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33471C" w:rsidRDefault="0033471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33471C" w:rsidRDefault="00ED7F2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Príloha správy o činnosti pedagogického klubu              </w:t>
      </w:r>
      <w:r>
        <w:rPr>
          <w:color w:val="000000"/>
        </w:rPr>
        <w:t xml:space="preserve">                                                                               </w:t>
      </w:r>
      <w:r>
        <w:rPr>
          <w:noProof/>
          <w:color w:val="000000"/>
          <w:lang w:eastAsia="sk-SK"/>
        </w:rPr>
        <w:drawing>
          <wp:inline distT="0" distB="0" distL="114300" distR="114300">
            <wp:extent cx="5756275" cy="802640"/>
            <wp:effectExtent l="0" t="0" r="0" b="0"/>
            <wp:docPr id="104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fffb"/>
        <w:tblW w:w="94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5940"/>
      </w:tblGrid>
      <w:tr w:rsidR="0033471C">
        <w:tc>
          <w:tcPr>
            <w:tcW w:w="3528" w:type="dxa"/>
          </w:tcPr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Vzdelávanie</w:t>
            </w:r>
          </w:p>
        </w:tc>
      </w:tr>
      <w:tr w:rsidR="0033471C">
        <w:tc>
          <w:tcPr>
            <w:tcW w:w="3528" w:type="dxa"/>
          </w:tcPr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33471C">
        <w:tc>
          <w:tcPr>
            <w:tcW w:w="3528" w:type="dxa"/>
          </w:tcPr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Súkromná základná škola waldorfská, Bratislava, Vihorlatská 10, ďalej len SZŠW</w:t>
            </w:r>
          </w:p>
        </w:tc>
      </w:tr>
      <w:tr w:rsidR="0033471C">
        <w:tc>
          <w:tcPr>
            <w:tcW w:w="3528" w:type="dxa"/>
          </w:tcPr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Inkluzívna škola ako  učiaca sa organizácia</w:t>
            </w:r>
          </w:p>
        </w:tc>
      </w:tr>
      <w:tr w:rsidR="0033471C">
        <w:tc>
          <w:tcPr>
            <w:tcW w:w="3528" w:type="dxa"/>
          </w:tcPr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312011R551</w:t>
            </w:r>
          </w:p>
        </w:tc>
      </w:tr>
      <w:tr w:rsidR="0033471C">
        <w:tc>
          <w:tcPr>
            <w:tcW w:w="3528" w:type="dxa"/>
          </w:tcPr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Klub učiteľov Kreatívneho čítania a dramatiky</w:t>
            </w:r>
          </w:p>
        </w:tc>
      </w:tr>
    </w:tbl>
    <w:p w:rsidR="0033471C" w:rsidRDefault="00ED7F21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PREZENČNÁ LISTINA</w:t>
      </w:r>
    </w:p>
    <w:p w:rsidR="0033471C" w:rsidRDefault="00ED7F2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Miesto konania stretnutia: SZŠW, Vihorlatská 10, Bratislava</w:t>
      </w:r>
    </w:p>
    <w:p w:rsidR="0033471C" w:rsidRDefault="00ED7F2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Dátum konania stretnutia: </w:t>
      </w:r>
      <w:r>
        <w:rPr>
          <w:rFonts w:ascii="Times New Roman" w:eastAsia="Times New Roman" w:hAnsi="Times New Roman" w:cs="Times New Roman"/>
        </w:rPr>
        <w:t>6.5</w:t>
      </w:r>
      <w:r>
        <w:rPr>
          <w:rFonts w:ascii="Times New Roman" w:eastAsia="Times New Roman" w:hAnsi="Times New Roman" w:cs="Times New Roman"/>
          <w:color w:val="000000"/>
        </w:rPr>
        <w:t>.202</w:t>
      </w:r>
      <w:r>
        <w:rPr>
          <w:rFonts w:ascii="Times New Roman" w:eastAsia="Times New Roman" w:hAnsi="Times New Roman" w:cs="Times New Roman"/>
        </w:rPr>
        <w:t>1</w:t>
      </w:r>
    </w:p>
    <w:p w:rsidR="0033471C" w:rsidRDefault="00ED7F2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Trvanie stretnutia: od 15. 00 hod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>do 18.00 hod.</w:t>
      </w:r>
    </w:p>
    <w:p w:rsidR="0033471C" w:rsidRDefault="00ED7F2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Zoznam účastníkov/členov pedagogického klubu:</w:t>
      </w:r>
    </w:p>
    <w:tbl>
      <w:tblPr>
        <w:tblStyle w:val="afffc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33471C">
        <w:trPr>
          <w:trHeight w:val="337"/>
        </w:trPr>
        <w:tc>
          <w:tcPr>
            <w:tcW w:w="544" w:type="dxa"/>
          </w:tcPr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č.</w:t>
            </w:r>
          </w:p>
        </w:tc>
        <w:tc>
          <w:tcPr>
            <w:tcW w:w="3935" w:type="dxa"/>
          </w:tcPr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Meno a priezvisko</w:t>
            </w:r>
          </w:p>
        </w:tc>
        <w:tc>
          <w:tcPr>
            <w:tcW w:w="2427" w:type="dxa"/>
          </w:tcPr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2306" w:type="dxa"/>
          </w:tcPr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Inštitúcia</w:t>
            </w:r>
          </w:p>
        </w:tc>
      </w:tr>
      <w:tr w:rsidR="0033471C">
        <w:trPr>
          <w:trHeight w:val="337"/>
        </w:trPr>
        <w:tc>
          <w:tcPr>
            <w:tcW w:w="544" w:type="dxa"/>
          </w:tcPr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935" w:type="dxa"/>
          </w:tcPr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Renata Kubečková</w:t>
            </w:r>
          </w:p>
        </w:tc>
        <w:tc>
          <w:tcPr>
            <w:tcW w:w="2427" w:type="dxa"/>
          </w:tcPr>
          <w:p w:rsidR="0033471C" w:rsidRDefault="0033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33471C">
        <w:trPr>
          <w:trHeight w:val="337"/>
        </w:trPr>
        <w:tc>
          <w:tcPr>
            <w:tcW w:w="544" w:type="dxa"/>
          </w:tcPr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935" w:type="dxa"/>
          </w:tcPr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Zuzana Bugárová</w:t>
            </w:r>
          </w:p>
        </w:tc>
        <w:tc>
          <w:tcPr>
            <w:tcW w:w="2427" w:type="dxa"/>
          </w:tcPr>
          <w:p w:rsidR="0033471C" w:rsidRDefault="0033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33471C">
        <w:trPr>
          <w:trHeight w:val="337"/>
        </w:trPr>
        <w:tc>
          <w:tcPr>
            <w:tcW w:w="544" w:type="dxa"/>
          </w:tcPr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935" w:type="dxa"/>
          </w:tcPr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Dáša Czéreová</w:t>
            </w:r>
          </w:p>
        </w:tc>
        <w:tc>
          <w:tcPr>
            <w:tcW w:w="2427" w:type="dxa"/>
          </w:tcPr>
          <w:p w:rsidR="0033471C" w:rsidRDefault="0033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33471C">
        <w:trPr>
          <w:trHeight w:val="337"/>
        </w:trPr>
        <w:tc>
          <w:tcPr>
            <w:tcW w:w="544" w:type="dxa"/>
          </w:tcPr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935" w:type="dxa"/>
          </w:tcPr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Zuzana Bajusová</w:t>
            </w:r>
          </w:p>
        </w:tc>
        <w:tc>
          <w:tcPr>
            <w:tcW w:w="2427" w:type="dxa"/>
          </w:tcPr>
          <w:p w:rsidR="0033471C" w:rsidRDefault="0033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33471C">
        <w:trPr>
          <w:trHeight w:val="355"/>
        </w:trPr>
        <w:tc>
          <w:tcPr>
            <w:tcW w:w="544" w:type="dxa"/>
          </w:tcPr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3935" w:type="dxa"/>
          </w:tcPr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Ivana Bartovičová</w:t>
            </w:r>
          </w:p>
        </w:tc>
        <w:tc>
          <w:tcPr>
            <w:tcW w:w="2427" w:type="dxa"/>
          </w:tcPr>
          <w:p w:rsidR="0033471C" w:rsidRDefault="0033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33471C">
        <w:trPr>
          <w:trHeight w:val="355"/>
        </w:trPr>
        <w:tc>
          <w:tcPr>
            <w:tcW w:w="544" w:type="dxa"/>
          </w:tcPr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3935" w:type="dxa"/>
          </w:tcPr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Slávka Šebová</w:t>
            </w:r>
          </w:p>
        </w:tc>
        <w:tc>
          <w:tcPr>
            <w:tcW w:w="2427" w:type="dxa"/>
          </w:tcPr>
          <w:p w:rsidR="0033471C" w:rsidRDefault="0033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33471C">
        <w:trPr>
          <w:trHeight w:val="355"/>
        </w:trPr>
        <w:tc>
          <w:tcPr>
            <w:tcW w:w="544" w:type="dxa"/>
          </w:tcPr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3935" w:type="dxa"/>
          </w:tcPr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Monika Dojčárová</w:t>
            </w:r>
          </w:p>
        </w:tc>
        <w:tc>
          <w:tcPr>
            <w:tcW w:w="2427" w:type="dxa"/>
          </w:tcPr>
          <w:p w:rsidR="0033471C" w:rsidRDefault="0033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33471C">
        <w:trPr>
          <w:trHeight w:val="355"/>
        </w:trPr>
        <w:tc>
          <w:tcPr>
            <w:tcW w:w="544" w:type="dxa"/>
          </w:tcPr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3935" w:type="dxa"/>
          </w:tcPr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Martin Malgot</w:t>
            </w:r>
          </w:p>
        </w:tc>
        <w:tc>
          <w:tcPr>
            <w:tcW w:w="2427" w:type="dxa"/>
          </w:tcPr>
          <w:p w:rsidR="0033471C" w:rsidRDefault="0033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33471C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Zuzana Kyselicová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C" w:rsidRDefault="0033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33471C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Katarína Horecká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C" w:rsidRDefault="0033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</w:tbl>
    <w:p w:rsidR="0033471C" w:rsidRDefault="0033471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33471C" w:rsidRDefault="00ED7F2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Meno prizvaných odborníkov/iných účastníkov, ktorí nie sú členmi pedagogického klubu  a podpis/y:</w:t>
      </w:r>
    </w:p>
    <w:p w:rsidR="0033471C" w:rsidRDefault="00ED7F2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tbl>
      <w:tblPr>
        <w:tblStyle w:val="afffd"/>
        <w:tblW w:w="90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33471C">
        <w:trPr>
          <w:trHeight w:val="337"/>
        </w:trPr>
        <w:tc>
          <w:tcPr>
            <w:tcW w:w="610" w:type="dxa"/>
          </w:tcPr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č.</w:t>
            </w:r>
          </w:p>
        </w:tc>
        <w:tc>
          <w:tcPr>
            <w:tcW w:w="4680" w:type="dxa"/>
          </w:tcPr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Meno a priezvisko</w:t>
            </w:r>
          </w:p>
        </w:tc>
        <w:tc>
          <w:tcPr>
            <w:tcW w:w="1726" w:type="dxa"/>
          </w:tcPr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1985" w:type="dxa"/>
          </w:tcPr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Inštitúcia</w:t>
            </w:r>
          </w:p>
        </w:tc>
      </w:tr>
      <w:tr w:rsidR="0033471C">
        <w:trPr>
          <w:trHeight w:val="337"/>
        </w:trPr>
        <w:tc>
          <w:tcPr>
            <w:tcW w:w="610" w:type="dxa"/>
          </w:tcPr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680" w:type="dxa"/>
          </w:tcPr>
          <w:p w:rsidR="0033471C" w:rsidRDefault="0033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6" w:type="dxa"/>
          </w:tcPr>
          <w:p w:rsidR="0033471C" w:rsidRDefault="0033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33471C" w:rsidRDefault="0033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471C">
        <w:trPr>
          <w:trHeight w:val="337"/>
        </w:trPr>
        <w:tc>
          <w:tcPr>
            <w:tcW w:w="610" w:type="dxa"/>
          </w:tcPr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680" w:type="dxa"/>
          </w:tcPr>
          <w:p w:rsidR="0033471C" w:rsidRDefault="0033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6" w:type="dxa"/>
          </w:tcPr>
          <w:p w:rsidR="0033471C" w:rsidRDefault="0033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33471C" w:rsidRDefault="0033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471C">
        <w:trPr>
          <w:trHeight w:val="355"/>
        </w:trPr>
        <w:tc>
          <w:tcPr>
            <w:tcW w:w="610" w:type="dxa"/>
          </w:tcPr>
          <w:p w:rsidR="0033471C" w:rsidRDefault="00ED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680" w:type="dxa"/>
          </w:tcPr>
          <w:p w:rsidR="0033471C" w:rsidRDefault="0033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6" w:type="dxa"/>
          </w:tcPr>
          <w:p w:rsidR="0033471C" w:rsidRDefault="0033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33471C" w:rsidRDefault="00334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3471C" w:rsidRDefault="0033471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33471C" w:rsidRDefault="0033471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33471C" w:rsidRDefault="0033471C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rFonts w:ascii="Times New Roman" w:eastAsia="Times New Roman" w:hAnsi="Times New Roman" w:cs="Times New Roman"/>
          <w:color w:val="000000"/>
        </w:rPr>
      </w:pPr>
    </w:p>
    <w:sectPr w:rsidR="0033471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6F7D"/>
    <w:multiLevelType w:val="multilevel"/>
    <w:tmpl w:val="A4F4A1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5772071E"/>
    <w:multiLevelType w:val="multilevel"/>
    <w:tmpl w:val="799CBAF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3471C"/>
    <w:rsid w:val="0033471C"/>
    <w:rsid w:val="00ED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dpis1">
    <w:name w:val="heading 1"/>
    <w:basedOn w:val="Normlny"/>
    <w:next w:val="Normlny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1Chapter">
    <w:name w:val="Nadpis 1;Chapter"/>
    <w:basedOn w:val="Normlny"/>
    <w:next w:val="Normlny"/>
    <w:pPr>
      <w:keepNext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1CharChapterChar">
    <w:name w:val="Nadpis 1 Char;Chapter Char"/>
    <w:rPr>
      <w:rFonts w:ascii="Arial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cs-CZ" w:eastAsia="cs-CZ"/>
    </w:rPr>
  </w:style>
  <w:style w:type="paragraph" w:styleId="Textbubliny">
    <w:name w:val="Balloon Text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Mriekatabuky">
    <w:name w:val="Table Grid"/>
    <w:basedOn w:val="Normlnatabuk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customStyle="1" w:styleId="tl1">
    <w:name w:val="Štýl1"/>
    <w:rPr>
      <w:rFonts w:ascii="Times New Roman" w:hAnsi="Times New Roman" w:cs="Times New Roman"/>
      <w:b/>
      <w:w w:val="100"/>
      <w:position w:val="-1"/>
      <w:sz w:val="28"/>
      <w:effect w:val="none"/>
      <w:vertAlign w:val="baseline"/>
      <w:cs w:val="0"/>
      <w:em w:val="none"/>
    </w:rPr>
  </w:style>
  <w:style w:type="paragraph" w:styleId="Textpoznmkypodiarou">
    <w:name w:val="footnote text"/>
    <w:basedOn w:val="Normlny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kaznapoznmkupodiarou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Odsekzoznamu">
    <w:name w:val="List Paragraph"/>
    <w:basedOn w:val="Normlny"/>
    <w:pPr>
      <w:ind w:left="720"/>
      <w:contextualSpacing/>
    </w:pPr>
  </w:style>
  <w:style w:type="paragraph" w:customStyle="1" w:styleId="CharCharCharChar">
    <w:name w:val="Char Char Char Char"/>
    <w:basedOn w:val="Normlny"/>
    <w:pPr>
      <w:widowControl w:val="0"/>
      <w:adjustRightInd w:val="0"/>
      <w:spacing w:after="160" w:line="240" w:lineRule="atLeas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ra">
    <w:name w:val="annotation text"/>
    <w:basedOn w:val="Normlny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titul">
    <w:name w:val="Subtitle"/>
    <w:basedOn w:val="Normlny"/>
    <w:next w:val="Norm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e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0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1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2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3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4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5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6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7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8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9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a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b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c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d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dpis1">
    <w:name w:val="heading 1"/>
    <w:basedOn w:val="Normlny"/>
    <w:next w:val="Normlny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1Chapter">
    <w:name w:val="Nadpis 1;Chapter"/>
    <w:basedOn w:val="Normlny"/>
    <w:next w:val="Normlny"/>
    <w:pPr>
      <w:keepNext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1CharChapterChar">
    <w:name w:val="Nadpis 1 Char;Chapter Char"/>
    <w:rPr>
      <w:rFonts w:ascii="Arial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cs-CZ" w:eastAsia="cs-CZ"/>
    </w:rPr>
  </w:style>
  <w:style w:type="paragraph" w:styleId="Textbubliny">
    <w:name w:val="Balloon Text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Mriekatabuky">
    <w:name w:val="Table Grid"/>
    <w:basedOn w:val="Normlnatabuk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customStyle="1" w:styleId="tl1">
    <w:name w:val="Štýl1"/>
    <w:rPr>
      <w:rFonts w:ascii="Times New Roman" w:hAnsi="Times New Roman" w:cs="Times New Roman"/>
      <w:b/>
      <w:w w:val="100"/>
      <w:position w:val="-1"/>
      <w:sz w:val="28"/>
      <w:effect w:val="none"/>
      <w:vertAlign w:val="baseline"/>
      <w:cs w:val="0"/>
      <w:em w:val="none"/>
    </w:rPr>
  </w:style>
  <w:style w:type="paragraph" w:styleId="Textpoznmkypodiarou">
    <w:name w:val="footnote text"/>
    <w:basedOn w:val="Normlny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kaznapoznmkupodiarou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Odsekzoznamu">
    <w:name w:val="List Paragraph"/>
    <w:basedOn w:val="Normlny"/>
    <w:pPr>
      <w:ind w:left="720"/>
      <w:contextualSpacing/>
    </w:pPr>
  </w:style>
  <w:style w:type="paragraph" w:customStyle="1" w:styleId="CharCharCharChar">
    <w:name w:val="Char Char Char Char"/>
    <w:basedOn w:val="Normlny"/>
    <w:pPr>
      <w:widowControl w:val="0"/>
      <w:adjustRightInd w:val="0"/>
      <w:spacing w:after="160" w:line="240" w:lineRule="atLeas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ra">
    <w:name w:val="annotation text"/>
    <w:basedOn w:val="Normlny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titul">
    <w:name w:val="Subtitle"/>
    <w:basedOn w:val="Normlny"/>
    <w:next w:val="Norm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e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0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1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2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3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4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5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6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7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8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9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a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b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c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d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Djh4frhno6nAbIxKkbzKc5IWpQ==">AMUW2mXVM7k5dpNbXWRtFT0cH6xGcoq7IUIZ8MlKHLRQMhHNysCtWvA0OgxPZYbzm07ul395b6CbV8x9Z1ZLRzCHJwpyKIWBda38StngMYkrDrYN4cB2JchhFNv8NsU5nL3kCeVGZmtDXOdbplrpR8xxXpQKCnJvCYpfgQzfb/iRyCTi343y7T8z7cChtACiSMsd34bOoHzP4caJ9p8f/bpwNk0HdB+r7Q==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994</Words>
  <Characters>5670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denisa.strunakova</cp:lastModifiedBy>
  <cp:revision>2</cp:revision>
  <dcterms:created xsi:type="dcterms:W3CDTF">2020-10-13T11:12:00Z</dcterms:created>
  <dcterms:modified xsi:type="dcterms:W3CDTF">2021-06-02T13:44:00Z</dcterms:modified>
</cp:coreProperties>
</file>