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56" w:rsidRDefault="0019559E">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212756" w:rsidRDefault="00212756">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212756" w:rsidRDefault="0019559E">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f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212756" w:rsidRDefault="00212756">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ff3"/>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212756">
              <w:tc>
                <w:tcPr>
                  <w:tcW w:w="4380"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212756" w:rsidRDefault="00212756">
            <w:pPr>
              <w:pBdr>
                <w:top w:val="nil"/>
                <w:left w:val="nil"/>
                <w:bottom w:val="nil"/>
                <w:right w:val="nil"/>
                <w:between w:val="nil"/>
              </w:pBdr>
              <w:tabs>
                <w:tab w:val="left" w:pos="4007"/>
              </w:tabs>
              <w:spacing w:after="0" w:line="240" w:lineRule="auto"/>
              <w:ind w:left="0" w:hanging="2"/>
              <w:rPr>
                <w:color w:val="000000"/>
              </w:rPr>
            </w:pP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312011R551</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t>3.12.2020</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Katarína Horecká</w:t>
            </w:r>
          </w:p>
        </w:tc>
      </w:tr>
      <w:tr w:rsidR="00212756">
        <w:tc>
          <w:tcPr>
            <w:tcW w:w="4606" w:type="dxa"/>
          </w:tcPr>
          <w:p w:rsidR="00212756" w:rsidRDefault="0019559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http://waldorfskaskola.sk/tema/35/inkluzivna-skola-ako-uciaca-sa-organizacia</w:t>
            </w:r>
          </w:p>
        </w:tc>
      </w:tr>
    </w:tbl>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bl>
      <w:tblPr>
        <w:tblStyle w:val="aff4"/>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212756">
        <w:trPr>
          <w:trHeight w:val="1827"/>
        </w:trPr>
        <w:tc>
          <w:tcPr>
            <w:tcW w:w="9266"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212756" w:rsidRDefault="0019559E">
            <w:pPr>
              <w:ind w:left="0" w:hanging="2"/>
              <w:rPr>
                <w:rFonts w:ascii="Times New Roman" w:eastAsia="Times New Roman" w:hAnsi="Times New Roman" w:cs="Times New Roman"/>
              </w:rPr>
            </w:pPr>
            <w:r>
              <w:rPr>
                <w:rFonts w:ascii="Times New Roman" w:eastAsia="Times New Roman" w:hAnsi="Times New Roman" w:cs="Times New Roman"/>
              </w:rPr>
              <w:t>Dramatoterapia. Hry na rozvoj schopnosti aktívneho a pasívneho uvoľnenia a ich využitie pri práci s textom na dosiahnutie zvýšenia úspešnosti čitateľských zručnosti.</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212756">
        <w:trPr>
          <w:trHeight w:val="53"/>
        </w:trPr>
        <w:tc>
          <w:tcPr>
            <w:tcW w:w="9266"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212756" w:rsidP="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1/ úvodné privítanie, naladenie</w:t>
            </w:r>
          </w:p>
          <w:p w:rsidR="00212756" w:rsidRDefault="0019559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2/ predstavenie programu, zhrnutie práce z minulého stretnutia</w:t>
            </w:r>
          </w:p>
          <w:p w:rsidR="00212756" w:rsidRDefault="0019559E">
            <w:pPr>
              <w:ind w:left="0" w:hanging="2"/>
              <w:rPr>
                <w:rFonts w:ascii="Times New Roman" w:eastAsia="Times New Roman" w:hAnsi="Times New Roman" w:cs="Times New Roman"/>
              </w:rPr>
            </w:pPr>
            <w:r>
              <w:rPr>
                <w:rFonts w:ascii="Times New Roman" w:eastAsia="Times New Roman" w:hAnsi="Times New Roman" w:cs="Times New Roman"/>
                <w:i/>
              </w:rPr>
              <w:t xml:space="preserve">3/ hlavná téma: </w:t>
            </w:r>
            <w:r>
              <w:rPr>
                <w:rFonts w:ascii="Times New Roman" w:eastAsia="Times New Roman" w:hAnsi="Times New Roman" w:cs="Times New Roman"/>
              </w:rPr>
              <w:t>dramatoterapia - hry na rozvoj schopnosti uvoľnenia</w:t>
            </w:r>
          </w:p>
          <w:p w:rsidR="00212756" w:rsidRDefault="0019559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4/ štúdium</w:t>
            </w:r>
          </w:p>
          <w:p w:rsidR="00212756" w:rsidRDefault="0019559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5/ záver</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i/>
                <w:color w:val="000000"/>
              </w:rPr>
              <w:t>--------------------------------------------------------------------------------------------------------</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b/>
                <w:i/>
              </w:rPr>
            </w:pPr>
            <w:r>
              <w:rPr>
                <w:rFonts w:ascii="Times New Roman" w:eastAsia="Times New Roman" w:hAnsi="Times New Roman" w:cs="Times New Roman"/>
                <w:b/>
                <w:i/>
              </w:rPr>
              <w:lastRenderedPageBreak/>
              <w:t>Zhrnutie:</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 stretnutí sme sa oboznámili so základnými východiskami relaxačných hier. </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Hry na uvoľnenie sú hry, vďaka ktorým sa deti zbavia psychického napätia a odpútajú sa od všetkých doterajších zážitkov, dojmov, pocitov a myšlienok a vzniká tu priestor na prežívanie určitej roly. Zvyčajne prebieha v pokoji, so zavretými očami. Najčastejšou polohou pri týchto hrách je ležanie, nie je to však pravidlom. Aby sa deti vedeli správne uvoľniť, musia na vlastnom tele zažiť napätie a uvoľnenie. Silu pôsobenia relaxácie môžeme posilniť aj príjemnou hudbou, či pokojným hlasom dospelého. </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Hry na relaxáciu:</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zaraďujeme ako prostriedok uvoľnenia a obnovy síl,</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keď vnímame situáciu, že to je potrebné - podľa rozpoloženia stavu detí a programu dňa,</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na začiatku hodiny, keď sú deti nepokojné a nesústredené, alebo veľmi rozrušené z predchádzajúcej činnosti, </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na záver aktivity, ktorá znamenala pre deti veľkú námahu intelektuálnu alebo fyzickú. </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vo vhodnej miestnosti, kde je príjemná teplota, </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na podložke, </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v pohodlnom oblečení,</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so zatvorenými očami. </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Cvičenia na premeny - deti vedieme k tomu, aby ich vonkajší prejav bol totožný s vnútorným zážitkom a presvedčením. </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Variácie týchto cvičení môžu by</w:t>
            </w:r>
            <w:r w:rsidR="0091625A">
              <w:rPr>
                <w:rFonts w:ascii="Times New Roman" w:eastAsia="Times New Roman" w:hAnsi="Times New Roman" w:cs="Times New Roman"/>
              </w:rPr>
              <w:t>ť</w:t>
            </w:r>
            <w:r>
              <w:rPr>
                <w:rFonts w:ascii="Times New Roman" w:eastAsia="Times New Roman" w:hAnsi="Times New Roman" w:cs="Times New Roman"/>
              </w:rPr>
              <w:t xml:space="preserve"> - ležíte na pláži, pri mori, piesok ohrieva váš chrbát, ležíte pri rieke, slnko páli, tráva chladí váš chrbát, ležíme na vode, ktorá nás unáša a nadľahčuje, letíte na čarovnom koberci, ste zmrzlina, čokoláda, ktorá sa roztápa na slnku, ste snehuliak roztápajúci sa na jar, ste kvapka vody meniaca sa na obláčik, ste mačka ležiaca na mäkkom vankúšiku pri peci, ste mačka vyhrievajúca sa na slnku, ste vädnúca kvetinka ste padajúci list zo stromu v jeseni...</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Na záver stretnutia sme si vyskúšali cvičenie handrová bábika:</w:t>
            </w: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Deti ležia na chrbte na podložke so zavretými očami, ruky vedľa tela. Požiadame ich, aby pokojne a pravidelne dýchali a pritom sledovali svoj nádych nosom a výdych ústami a aby sa vžili do toho, že sa stávajú mäkkou handrovou bábikou. Učiteľka postupne menuje jednotlivé časti tela, ktoré sa budú meniť na mäkkú látku. Začíname od hlavy po nohy. V úplnom uvoľnení zotrvajú nejaký čas, necháme ich, aby si vychutnali tento príjemný pocit. Potom, každý podľa svojho rytmu a potreby začnú pohybovať rukami, nohami až celým telom. Nakoniec otvoria oči a poobzerajú sa okolo seba, usmejú sa na suseda. Nakoniec sa posadia a postavia. Cieľom aktivity je získať schopnosť aktívneho a pasívneho uvoľnenia, sebapozorovanie a vnímanie vlastného tela. </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Po aktivite sme si zdieľali svoje pocity, v ktorých dominoval pokoj, nové sily, vyrovnanosť, chuť zapojiť sa do niečoho nového. </w:t>
            </w: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212756" w:rsidRDefault="00212756">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tc>
      </w:tr>
      <w:tr w:rsidR="00212756">
        <w:trPr>
          <w:trHeight w:val="2434"/>
        </w:trPr>
        <w:tc>
          <w:tcPr>
            <w:tcW w:w="9266"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212756" w:rsidRDefault="0019559E" w:rsidP="0019559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rPr>
              <w:t xml:space="preserve">Zoznámili sme sa s princípmi a možnosťami hier a aktivít na relaxáciu a uvoľnenie. </w:t>
            </w:r>
            <w:r w:rsidR="00C0204B">
              <w:rPr>
                <w:rFonts w:ascii="Times New Roman" w:eastAsia="Times New Roman" w:hAnsi="Times New Roman" w:cs="Times New Roman"/>
              </w:rPr>
              <w:t>Radi by sme využívali podobné cielené hry, improvizáciu, skupinové cvičenia a ďalšie formy dramatických činností s cieľom celostného rozvoja osobnosti cez umeleckú činnosť. Chceli by sme tak podporiť tvorivosť, komunikačné schopnosti, rozvíjať sociálne cítenie a podporovať efektívne nachádzanie riešení konfliktov</w:t>
            </w:r>
            <w:r w:rsidR="004C27D9">
              <w:rPr>
                <w:rFonts w:ascii="Times New Roman" w:eastAsia="Times New Roman" w:hAnsi="Times New Roman" w:cs="Times New Roman"/>
              </w:rPr>
              <w:t xml:space="preserve"> či napomáhať formovaniu vlastných postojov. V neposlednom rade podporovať vzájomné vzťahy v skupinách.</w:t>
            </w:r>
          </w:p>
        </w:tc>
      </w:tr>
    </w:tbl>
    <w:p w:rsidR="00212756" w:rsidRDefault="0019559E">
      <w:pPr>
        <w:pBdr>
          <w:top w:val="nil"/>
          <w:left w:val="nil"/>
          <w:bottom w:val="nil"/>
          <w:right w:val="nil"/>
          <w:between w:val="nil"/>
        </w:pBdr>
        <w:tabs>
          <w:tab w:val="left" w:pos="1114"/>
        </w:tabs>
        <w:ind w:left="0" w:hanging="2"/>
        <w:rPr>
          <w:color w:val="000000"/>
        </w:rPr>
      </w:pPr>
      <w:r>
        <w:rPr>
          <w:color w:val="000000"/>
        </w:rPr>
        <w:tab/>
      </w:r>
    </w:p>
    <w:p w:rsidR="007A6BED" w:rsidRDefault="007A6BED">
      <w:pPr>
        <w:pBdr>
          <w:top w:val="nil"/>
          <w:left w:val="nil"/>
          <w:bottom w:val="nil"/>
          <w:right w:val="nil"/>
          <w:between w:val="nil"/>
        </w:pBdr>
        <w:tabs>
          <w:tab w:val="left" w:pos="1114"/>
        </w:tabs>
        <w:ind w:left="0" w:hanging="2"/>
        <w:rPr>
          <w:color w:val="000000"/>
        </w:rPr>
      </w:pPr>
    </w:p>
    <w:tbl>
      <w:tblPr>
        <w:tblStyle w:val="aff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212756">
        <w:tc>
          <w:tcPr>
            <w:tcW w:w="4077"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Vypracoval (meno, priezvisko)</w:t>
            </w:r>
          </w:p>
        </w:tc>
        <w:tc>
          <w:tcPr>
            <w:tcW w:w="5135" w:type="dxa"/>
          </w:tcPr>
          <w:p w:rsidR="00212756" w:rsidRDefault="0019559E">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212756">
        <w:tc>
          <w:tcPr>
            <w:tcW w:w="4077"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212756" w:rsidRDefault="0019559E">
            <w:pPr>
              <w:pBdr>
                <w:top w:val="nil"/>
                <w:left w:val="nil"/>
                <w:bottom w:val="nil"/>
                <w:right w:val="nil"/>
                <w:between w:val="nil"/>
              </w:pBdr>
              <w:tabs>
                <w:tab w:val="left" w:pos="1114"/>
              </w:tabs>
              <w:spacing w:after="0" w:line="240" w:lineRule="auto"/>
              <w:ind w:left="0" w:hanging="2"/>
              <w:rPr>
                <w:color w:val="000000"/>
              </w:rPr>
            </w:pPr>
            <w:r>
              <w:t>4.12.2020</w:t>
            </w:r>
          </w:p>
        </w:tc>
      </w:tr>
      <w:tr w:rsidR="00212756">
        <w:tc>
          <w:tcPr>
            <w:tcW w:w="4077"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212756" w:rsidRDefault="00212756">
            <w:pPr>
              <w:pBdr>
                <w:top w:val="nil"/>
                <w:left w:val="nil"/>
                <w:bottom w:val="nil"/>
                <w:right w:val="nil"/>
                <w:between w:val="nil"/>
              </w:pBdr>
              <w:tabs>
                <w:tab w:val="left" w:pos="1114"/>
              </w:tabs>
              <w:spacing w:after="0" w:line="240" w:lineRule="auto"/>
              <w:ind w:left="0" w:hanging="2"/>
              <w:rPr>
                <w:color w:val="000000"/>
              </w:rPr>
            </w:pPr>
          </w:p>
        </w:tc>
      </w:tr>
      <w:tr w:rsidR="00212756">
        <w:tc>
          <w:tcPr>
            <w:tcW w:w="4077"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212756" w:rsidRDefault="0019559E">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212756">
        <w:tc>
          <w:tcPr>
            <w:tcW w:w="4077"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212756" w:rsidRDefault="0019559E">
            <w:pPr>
              <w:pBdr>
                <w:top w:val="nil"/>
                <w:left w:val="nil"/>
                <w:bottom w:val="nil"/>
                <w:right w:val="nil"/>
                <w:between w:val="nil"/>
              </w:pBdr>
              <w:tabs>
                <w:tab w:val="left" w:pos="1114"/>
              </w:tabs>
              <w:spacing w:after="0" w:line="240" w:lineRule="auto"/>
              <w:ind w:left="0" w:hanging="2"/>
              <w:rPr>
                <w:color w:val="000000"/>
              </w:rPr>
            </w:pPr>
            <w:r>
              <w:t>4</w:t>
            </w:r>
            <w:r>
              <w:rPr>
                <w:color w:val="000000"/>
              </w:rPr>
              <w:t>.1</w:t>
            </w:r>
            <w:r>
              <w:t>2</w:t>
            </w:r>
            <w:r>
              <w:rPr>
                <w:color w:val="000000"/>
              </w:rPr>
              <w:t>.20</w:t>
            </w:r>
            <w:r>
              <w:t>20</w:t>
            </w:r>
          </w:p>
        </w:tc>
      </w:tr>
      <w:tr w:rsidR="00212756">
        <w:tc>
          <w:tcPr>
            <w:tcW w:w="4077" w:type="dxa"/>
          </w:tcPr>
          <w:p w:rsidR="00212756" w:rsidRDefault="0019559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212756" w:rsidRDefault="00212756">
            <w:pPr>
              <w:pBdr>
                <w:top w:val="nil"/>
                <w:left w:val="nil"/>
                <w:bottom w:val="nil"/>
                <w:right w:val="nil"/>
                <w:between w:val="nil"/>
              </w:pBdr>
              <w:tabs>
                <w:tab w:val="left" w:pos="1114"/>
              </w:tabs>
              <w:spacing w:after="0" w:line="240" w:lineRule="auto"/>
              <w:ind w:left="0" w:hanging="2"/>
              <w:rPr>
                <w:color w:val="000000"/>
              </w:rPr>
            </w:pPr>
          </w:p>
        </w:tc>
      </w:tr>
    </w:tbl>
    <w:p w:rsidR="00212756" w:rsidRDefault="0019559E">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212756" w:rsidRDefault="0019559E">
      <w:pPr>
        <w:pBdr>
          <w:top w:val="nil"/>
          <w:left w:val="nil"/>
          <w:bottom w:val="nil"/>
          <w:right w:val="nil"/>
          <w:between w:val="nil"/>
        </w:pBdr>
        <w:tabs>
          <w:tab w:val="left" w:pos="1114"/>
        </w:tabs>
        <w:ind w:left="0" w:hanging="2"/>
        <w:rPr>
          <w:color w:val="000000"/>
        </w:rPr>
      </w:pPr>
      <w:r>
        <w:rPr>
          <w:rFonts w:ascii="Times New Roman" w:eastAsia="Times New Roman" w:hAnsi="Times New Roman" w:cs="Times New Roman"/>
          <w:color w:val="000000"/>
        </w:rPr>
        <w:t>Prezenčná listina zo stretnutia pedagogického klubu</w:t>
      </w:r>
    </w:p>
    <w:p w:rsidR="00212756" w:rsidRDefault="0019559E">
      <w:pPr>
        <w:pBdr>
          <w:top w:val="nil"/>
          <w:left w:val="nil"/>
          <w:bottom w:val="nil"/>
          <w:right w:val="nil"/>
          <w:between w:val="nil"/>
        </w:pBdr>
        <w:tabs>
          <w:tab w:val="left" w:pos="1114"/>
        </w:tabs>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Pokyny k vyplneniu Správy o činnosti pedagogického klubu:</w:t>
      </w:r>
    </w:p>
    <w:p w:rsidR="00212756" w:rsidRDefault="0019559E">
      <w:p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Prijímateľ vypracuje správu ku každému stretnutiu pedagogického klubu samostatne. Prílohou správy je prezenčná listina účastníkov stretnutia pedagogického klubu. </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projektu -  uvedie sa úplný názov projektu podľa zmluvy NFP, nepoužíva sa skrátený názov projektu </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stretnutia/zasadnutia klubu -  uvedie sa aktuálny dátum stretnutia daného klubu učiteľov, ktorý je totožný s dátumom na prezenčnej listine</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 uvedie sa miesto stretnutia daného klubu učiteľov, ktorý je totožný s miestom konania na prezenčnej listine</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Odkaz na webové sídlo zverejnenej správy – uvedie sa odkaz / link na webovú stránku, kde je správa zverejnená</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stručne a výstižne popíše priebeh stretnutia klubu</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vypracovania správy o činnosti</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klubu učiteľov) </w:t>
      </w:r>
    </w:p>
    <w:p w:rsidR="00212756" w:rsidRDefault="0019559E">
      <w:pPr>
        <w:numPr>
          <w:ilvl w:val="0"/>
          <w:numId w:val="2"/>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212756" w:rsidRDefault="0019559E">
      <w:pPr>
        <w:numPr>
          <w:ilvl w:val="0"/>
          <w:numId w:val="2"/>
        </w:num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 riadku Podpis – osoba, ktorá správu o činnosti schválila sa vlastnoručne podpíše.</w:t>
      </w:r>
    </w:p>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bookmarkStart w:id="1" w:name="_GoBack"/>
      <w:bookmarkEnd w:id="1"/>
    </w:p>
    <w:p w:rsidR="00212756" w:rsidRDefault="0019559E">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f6"/>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212756">
        <w:tc>
          <w:tcPr>
            <w:tcW w:w="3528"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212756">
        <w:tc>
          <w:tcPr>
            <w:tcW w:w="3528"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212756">
        <w:tc>
          <w:tcPr>
            <w:tcW w:w="3528"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212756">
        <w:tc>
          <w:tcPr>
            <w:tcW w:w="3528"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212756">
        <w:tc>
          <w:tcPr>
            <w:tcW w:w="3528"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212756">
        <w:tc>
          <w:tcPr>
            <w:tcW w:w="3528"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212756" w:rsidRDefault="0019559E">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bl>
    <w:p w:rsidR="00212756" w:rsidRDefault="0019559E">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PREZENČNÁ LISTINA</w:t>
      </w:r>
    </w:p>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Dátum konania stretnutia: </w:t>
      </w:r>
      <w:r>
        <w:rPr>
          <w:rFonts w:ascii="Times New Roman" w:eastAsia="Times New Roman" w:hAnsi="Times New Roman" w:cs="Times New Roman"/>
        </w:rPr>
        <w:t>3.12</w:t>
      </w:r>
      <w:r>
        <w:rPr>
          <w:rFonts w:ascii="Times New Roman" w:eastAsia="Times New Roman" w:hAnsi="Times New Roman" w:cs="Times New Roman"/>
          <w:color w:val="000000"/>
        </w:rPr>
        <w:t>.2020</w:t>
      </w:r>
    </w:p>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Trvanie stretnutia: od 15. 00 hod</w:t>
      </w:r>
      <w:r>
        <w:rPr>
          <w:rFonts w:ascii="Times New Roman" w:eastAsia="Times New Roman" w:hAnsi="Times New Roman" w:cs="Times New Roman"/>
        </w:rPr>
        <w:t xml:space="preserve"> </w:t>
      </w:r>
      <w:r>
        <w:rPr>
          <w:rFonts w:ascii="Times New Roman" w:eastAsia="Times New Roman" w:hAnsi="Times New Roman" w:cs="Times New Roman"/>
          <w:color w:val="000000"/>
        </w:rPr>
        <w:tab/>
        <w:t>do 18.00 hod.</w:t>
      </w:r>
    </w:p>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212756">
        <w:trPr>
          <w:trHeight w:val="337"/>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212756">
        <w:trPr>
          <w:trHeight w:val="337"/>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Renata Kubečková</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37"/>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Bugárová</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37"/>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Dáša Czéreová</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37"/>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Bajusová</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55"/>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Ivana Bartovičová</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55"/>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Slávka Šebová</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55"/>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Monika Dojčárová</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55"/>
        </w:trPr>
        <w:tc>
          <w:tcPr>
            <w:tcW w:w="544"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Martin Malgot</w:t>
            </w:r>
          </w:p>
        </w:tc>
        <w:tc>
          <w:tcPr>
            <w:tcW w:w="2427"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55"/>
        </w:trPr>
        <w:tc>
          <w:tcPr>
            <w:tcW w:w="544" w:type="dxa"/>
            <w:tcBorders>
              <w:top w:val="single" w:sz="4" w:space="0" w:color="000000"/>
              <w:left w:val="single" w:sz="4" w:space="0" w:color="000000"/>
              <w:bottom w:val="single" w:sz="4" w:space="0" w:color="000000"/>
              <w:right w:val="single" w:sz="4" w:space="0" w:color="000000"/>
            </w:tcBorders>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935" w:type="dxa"/>
            <w:tcBorders>
              <w:top w:val="single" w:sz="4" w:space="0" w:color="000000"/>
              <w:left w:val="single" w:sz="4" w:space="0" w:color="000000"/>
              <w:bottom w:val="single" w:sz="4" w:space="0" w:color="000000"/>
              <w:right w:val="single" w:sz="4" w:space="0" w:color="000000"/>
            </w:tcBorders>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rPr>
              <w:t>Zuzana Kyselicová</w:t>
            </w:r>
          </w:p>
        </w:tc>
        <w:tc>
          <w:tcPr>
            <w:tcW w:w="2427" w:type="dxa"/>
            <w:tcBorders>
              <w:top w:val="single" w:sz="4" w:space="0" w:color="000000"/>
              <w:left w:val="single" w:sz="4" w:space="0" w:color="000000"/>
              <w:bottom w:val="single" w:sz="4" w:space="0" w:color="000000"/>
              <w:right w:val="single" w:sz="4" w:space="0" w:color="000000"/>
            </w:tcBorders>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212756">
        <w:trPr>
          <w:trHeight w:val="355"/>
        </w:trPr>
        <w:tc>
          <w:tcPr>
            <w:tcW w:w="544" w:type="dxa"/>
            <w:tcBorders>
              <w:top w:val="single" w:sz="4" w:space="0" w:color="000000"/>
              <w:left w:val="single" w:sz="4" w:space="0" w:color="000000"/>
              <w:bottom w:val="single" w:sz="4" w:space="0" w:color="000000"/>
              <w:right w:val="single" w:sz="4" w:space="0" w:color="000000"/>
            </w:tcBorders>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35" w:type="dxa"/>
            <w:tcBorders>
              <w:top w:val="single" w:sz="4" w:space="0" w:color="000000"/>
              <w:left w:val="single" w:sz="4" w:space="0" w:color="000000"/>
              <w:bottom w:val="single" w:sz="4" w:space="0" w:color="000000"/>
              <w:right w:val="single" w:sz="4" w:space="0" w:color="000000"/>
            </w:tcBorders>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Katarína Horecká</w:t>
            </w:r>
          </w:p>
        </w:tc>
        <w:tc>
          <w:tcPr>
            <w:tcW w:w="2427" w:type="dxa"/>
            <w:tcBorders>
              <w:top w:val="single" w:sz="4" w:space="0" w:color="000000"/>
              <w:left w:val="single" w:sz="4" w:space="0" w:color="000000"/>
              <w:bottom w:val="single" w:sz="4" w:space="0" w:color="000000"/>
              <w:right w:val="single" w:sz="4" w:space="0" w:color="000000"/>
            </w:tcBorders>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212756" w:rsidRDefault="00212756">
      <w:pPr>
        <w:pBdr>
          <w:top w:val="nil"/>
          <w:left w:val="nil"/>
          <w:bottom w:val="nil"/>
          <w:right w:val="nil"/>
          <w:between w:val="nil"/>
        </w:pBdr>
        <w:ind w:left="0" w:hanging="2"/>
        <w:jc w:val="both"/>
        <w:rPr>
          <w:rFonts w:ascii="Times New Roman" w:eastAsia="Times New Roman" w:hAnsi="Times New Roman" w:cs="Times New Roman"/>
          <w:color w:val="000000"/>
        </w:rPr>
      </w:pPr>
    </w:p>
    <w:p w:rsidR="00212756" w:rsidRDefault="0019559E">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Meno prizvaných odborníkov/iných účastníkov, ktorí nie sú členmi pedagogického klubu  a podpis/y:</w:t>
      </w:r>
    </w:p>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p>
    <w:tbl>
      <w:tblPr>
        <w:tblStyle w:val="aff8"/>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212756">
        <w:trPr>
          <w:trHeight w:val="337"/>
        </w:trPr>
        <w:tc>
          <w:tcPr>
            <w:tcW w:w="61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212756">
        <w:trPr>
          <w:trHeight w:val="337"/>
        </w:trPr>
        <w:tc>
          <w:tcPr>
            <w:tcW w:w="61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212756" w:rsidRDefault="00212756">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r>
      <w:tr w:rsidR="00212756">
        <w:trPr>
          <w:trHeight w:val="337"/>
        </w:trPr>
        <w:tc>
          <w:tcPr>
            <w:tcW w:w="61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212756" w:rsidRDefault="00212756">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r>
      <w:tr w:rsidR="00212756">
        <w:trPr>
          <w:trHeight w:val="355"/>
        </w:trPr>
        <w:tc>
          <w:tcPr>
            <w:tcW w:w="610" w:type="dxa"/>
          </w:tcPr>
          <w:p w:rsidR="00212756" w:rsidRDefault="0019559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tc>
      </w:tr>
    </w:tbl>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p w:rsidR="00212756" w:rsidRDefault="00212756">
      <w:pPr>
        <w:pBdr>
          <w:top w:val="nil"/>
          <w:left w:val="nil"/>
          <w:bottom w:val="nil"/>
          <w:right w:val="nil"/>
          <w:between w:val="nil"/>
        </w:pBdr>
        <w:ind w:left="0" w:hanging="2"/>
        <w:rPr>
          <w:rFonts w:ascii="Times New Roman" w:eastAsia="Times New Roman" w:hAnsi="Times New Roman" w:cs="Times New Roman"/>
          <w:color w:val="000000"/>
        </w:rPr>
      </w:pPr>
    </w:p>
    <w:p w:rsidR="00212756" w:rsidRDefault="00212756">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p>
    <w:sectPr w:rsidR="0021275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A42"/>
    <w:multiLevelType w:val="multilevel"/>
    <w:tmpl w:val="295655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66B5896"/>
    <w:multiLevelType w:val="multilevel"/>
    <w:tmpl w:val="99CA65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212756"/>
    <w:rsid w:val="0019559E"/>
    <w:rsid w:val="00212756"/>
    <w:rsid w:val="004C27D9"/>
    <w:rsid w:val="007A6BED"/>
    <w:rsid w:val="0091625A"/>
    <w:rsid w:val="00C020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table" w:customStyle="1" w:styleId="afb">
    <w:basedOn w:val="TableNormal3"/>
    <w:tblPr>
      <w:tblStyleRowBandSize w:val="1"/>
      <w:tblStyleColBandSize w:val="1"/>
      <w:tblCellMar>
        <w:left w:w="70" w:type="dxa"/>
        <w:right w:w="70" w:type="dxa"/>
      </w:tblCellMar>
    </w:tblPr>
  </w:style>
  <w:style w:type="table" w:customStyle="1" w:styleId="afc">
    <w:basedOn w:val="TableNormal3"/>
    <w:tblPr>
      <w:tblStyleRowBandSize w:val="1"/>
      <w:tblStyleColBandSize w:val="1"/>
      <w:tblCellMar>
        <w:left w:w="70" w:type="dxa"/>
        <w:right w:w="70" w:type="dxa"/>
      </w:tblCellMar>
    </w:tblPr>
  </w:style>
  <w:style w:type="table" w:customStyle="1" w:styleId="afd">
    <w:basedOn w:val="TableNormal3"/>
    <w:tblPr>
      <w:tblStyleRowBandSize w:val="1"/>
      <w:tblStyleColBandSize w:val="1"/>
      <w:tblCellMar>
        <w:left w:w="70" w:type="dxa"/>
        <w:right w:w="70"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tblPr>
      <w:tblStyleRowBandSize w:val="1"/>
      <w:tblStyleColBandSize w:val="1"/>
      <w:tblCellMar>
        <w:left w:w="70" w:type="dxa"/>
        <w:right w:w="70"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tblPr>
      <w:tblStyleRowBandSize w:val="1"/>
      <w:tblStyleColBandSize w:val="1"/>
      <w:tblCellMar>
        <w:left w:w="70" w:type="dxa"/>
        <w:right w:w="70" w:type="dxa"/>
      </w:tblCellMar>
    </w:tblPr>
  </w:style>
  <w:style w:type="table" w:customStyle="1" w:styleId="aff4">
    <w:basedOn w:val="TableNormal3"/>
    <w:tblPr>
      <w:tblStyleRowBandSize w:val="1"/>
      <w:tblStyleColBandSize w:val="1"/>
      <w:tblCellMar>
        <w:left w:w="70" w:type="dxa"/>
        <w:right w:w="70"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 w:type="table" w:customStyle="1" w:styleId="aff7">
    <w:basedOn w:val="TableNormal3"/>
    <w:tblPr>
      <w:tblStyleRowBandSize w:val="1"/>
      <w:tblStyleColBandSize w:val="1"/>
      <w:tblCellMar>
        <w:left w:w="70" w:type="dxa"/>
        <w:right w:w="70" w:type="dxa"/>
      </w:tblCellMar>
    </w:tblPr>
  </w:style>
  <w:style w:type="table" w:customStyle="1" w:styleId="aff8">
    <w:basedOn w:val="TableNormal3"/>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table" w:customStyle="1" w:styleId="afb">
    <w:basedOn w:val="TableNormal3"/>
    <w:tblPr>
      <w:tblStyleRowBandSize w:val="1"/>
      <w:tblStyleColBandSize w:val="1"/>
      <w:tblCellMar>
        <w:left w:w="70" w:type="dxa"/>
        <w:right w:w="70" w:type="dxa"/>
      </w:tblCellMar>
    </w:tblPr>
  </w:style>
  <w:style w:type="table" w:customStyle="1" w:styleId="afc">
    <w:basedOn w:val="TableNormal3"/>
    <w:tblPr>
      <w:tblStyleRowBandSize w:val="1"/>
      <w:tblStyleColBandSize w:val="1"/>
      <w:tblCellMar>
        <w:left w:w="70" w:type="dxa"/>
        <w:right w:w="70" w:type="dxa"/>
      </w:tblCellMar>
    </w:tblPr>
  </w:style>
  <w:style w:type="table" w:customStyle="1" w:styleId="afd">
    <w:basedOn w:val="TableNormal3"/>
    <w:tblPr>
      <w:tblStyleRowBandSize w:val="1"/>
      <w:tblStyleColBandSize w:val="1"/>
      <w:tblCellMar>
        <w:left w:w="70" w:type="dxa"/>
        <w:right w:w="70"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tblPr>
      <w:tblStyleRowBandSize w:val="1"/>
      <w:tblStyleColBandSize w:val="1"/>
      <w:tblCellMar>
        <w:left w:w="70" w:type="dxa"/>
        <w:right w:w="70"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tblPr>
      <w:tblStyleRowBandSize w:val="1"/>
      <w:tblStyleColBandSize w:val="1"/>
      <w:tblCellMar>
        <w:left w:w="70" w:type="dxa"/>
        <w:right w:w="70" w:type="dxa"/>
      </w:tblCellMar>
    </w:tblPr>
  </w:style>
  <w:style w:type="table" w:customStyle="1" w:styleId="aff4">
    <w:basedOn w:val="TableNormal3"/>
    <w:tblPr>
      <w:tblStyleRowBandSize w:val="1"/>
      <w:tblStyleColBandSize w:val="1"/>
      <w:tblCellMar>
        <w:left w:w="70" w:type="dxa"/>
        <w:right w:w="70"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 w:type="table" w:customStyle="1" w:styleId="aff7">
    <w:basedOn w:val="TableNormal3"/>
    <w:tblPr>
      <w:tblStyleRowBandSize w:val="1"/>
      <w:tblStyleColBandSize w:val="1"/>
      <w:tblCellMar>
        <w:left w:w="70" w:type="dxa"/>
        <w:right w:w="70" w:type="dxa"/>
      </w:tblCellMar>
    </w:tblPr>
  </w:style>
  <w:style w:type="table" w:customStyle="1" w:styleId="aff8">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XHD9257geFiP++XTZ0IMQgdFA==">AMUW2mW4fce5ZlemH3Nz702VVikCNf6cB774A9+zVEimfb3Z8bxZjbXOfq0624RXsg+kUbC7/QQEsP5igUDNm8IY7AV1AvgUatYxLYWNJLwWrb8ZHVyuQpWFAShjWDGpnb+N/2t3Gf6H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1208</Words>
  <Characters>6888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4</cp:revision>
  <cp:lastPrinted>2021-05-27T16:11:00Z</cp:lastPrinted>
  <dcterms:created xsi:type="dcterms:W3CDTF">2021-04-04T16:17:00Z</dcterms:created>
  <dcterms:modified xsi:type="dcterms:W3CDTF">2021-05-27T16:12:00Z</dcterms:modified>
</cp:coreProperties>
</file>